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Sec129 Beyond7Days</w:t>
      </w:r>
    </w:p>
    <w:p>
      <w:pPr>
        <w:jc w:val="left"/>
      </w:pPr>
      <w:r>
        <w:rPr>
          <w:rFonts w:ascii="Times New Roman" w:hAnsi="Times New Roman"/>
          <w:b w:val="0"/>
          <w:i/>
          <w:sz w:val="24"/>
        </w:rPr>
        <w:t>Statutory reference: Section 129(3), APL-01, MOV-07, MOV-09.</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Sec129 Beyond7Days.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