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ConditionalWaiver AppealWithdrawal</w:t>
      </w:r>
    </w:p>
    <w:p>
      <w:pPr>
        <w:jc w:val="left"/>
      </w:pPr>
      <w:r>
        <w:rPr>
          <w:rFonts w:ascii="Times New Roman" w:hAnsi="Times New Roman"/>
          <w:b w:val="0"/>
          <w:i/>
          <w:sz w:val="24"/>
        </w:rPr>
        <w:t>Statutory reference: Section 128A, SPL-01, SPL-02, APL-01W.</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For the demand pertaining to FY 2017-18 to FY 2019-20 raised under Section 73, full payment of the tax component has been made and an application for waiver of interest and penalty is filed under Section 128A, along with an undertaking to withdraw the appeal pending against the said demand.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