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Sec128A NoAppeal Submission</w:t>
      </w:r>
    </w:p>
    <w:p>
      <w:pPr>
        <w:jc w:val="left"/>
      </w:pPr>
      <w:r>
        <w:rPr>
          <w:rFonts w:ascii="Times New Roman" w:hAnsi="Times New Roman"/>
          <w:b w:val="0"/>
          <w:i/>
          <w:sz w:val="24"/>
        </w:rPr>
        <w:t>Statutory reference: Section 128A, DRC-07, SPL-02, DRC-03.</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A show cause notice under Section 73 was issued on [____]; the registered person replied on [____]; the proper officer confirmed the demand by order in FORM GST DRC-07 dated [____] (Ref. [____]), of which Rs. [____] is tax. No appeal under Section 107 has been filed. ELIGIBILITY AND PROCEDURE Section 128A (inserted by the Finance (No.</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