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APL01W AppealWithdrawal 128A</w:t>
      </w:r>
    </w:p>
    <w:p>
      <w:pPr>
        <w:jc w:val="left"/>
      </w:pPr>
      <w:r>
        <w:rPr>
          <w:rFonts w:ascii="Times New Roman" w:hAnsi="Times New Roman"/>
          <w:b w:val="0"/>
          <w:i/>
          <w:sz w:val="24"/>
        </w:rPr>
        <w:t>Statutory reference: Section 128A, APL-01W, APL-02,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filed an appeal in FORM GST APL-01 (ARN [____], dated [____]) against the order in FORM GST DRC-07 dated [____], confirming a demand under Section 73 for FY [____]. The appellant wishes to avail the conditional waiver of interest and penalty under Section 128A, which (by Section 128A(1)(b)/(c)) requires the pending appeal to be withdrawn.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