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16 4 vs 16 5</w:t>
      </w:r>
    </w:p>
    <w:p>
      <w:pPr>
        <w:jc w:val="left"/>
      </w:pPr>
      <w:r>
        <w:rPr>
          <w:rFonts w:ascii="Times New Roman" w:hAnsi="Times New Roman"/>
          <w:b w:val="0"/>
          <w:i/>
          <w:sz w:val="24"/>
        </w:rPr>
        <w:t>Statutory reference: Section 16(4), GSTR-3B, DRC-07, APL-01.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Denies credit solely on the ground that the return for the relevant month was filed beyond the time then prescribed by Section 16(4). That ground has been removed by Parliament: Section 16(5), inserted with retrospective effect from 1 July 2017, allows the credit for FY 2017-18 to 2020-21 if taken in any return filed up to 30 November 2021.</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