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S83 Bank Attachment Release Rule159</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By Form GST DRC-22 the Department has provisionally attached the Company’s bank account No. [____] under Section 83, pending a proceeding under Section [____]. The Company applies, under Rule 159(5), for release of the attachment. The attachment does not satisfy the strict conditions of Section 83 as laid down by the Hon’ble Supreme Court: there is no tangible material on which a reasoned opinion that attachment is necessary to protect the revenue could rest; the attachment is disproportionate, freezing the Company’s operating account and imperilling its business and its ability to meet its tax obligations; and it is, in any event, subject to the one-year ceiling.</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