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Unblock ITC Rule86A OneYear Expiry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73.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Department blocked the Company’s Electronic Credit Ledger under Rule 86A on [____], in the amount of Rs. [____]. More than one year has since elapsed; no further communication has been received, and no notice under Section 73/74 has been issued. By the express terms of Rule 86A(3), a restriction imposed under the rule ‘shall cease to have effect after the expiry of a period of one year from the date of imposition’.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