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ITC on Construction of Building S17(5)(d)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17(5)(d).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reply concerns the input tax credit on the construction of the Company’s building / market complex, which is to be let out on rent — a taxable output supply.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