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Informal Communication No Section DIN</w:t>
      </w:r>
    </w:p>
    <w:p>
      <w:pPr>
        <w:jc w:val="left"/>
      </w:pPr>
      <w:r>
        <w:rPr>
          <w:rFonts w:ascii="Times New Roman" w:hAnsi="Times New Roman"/>
          <w:b w:val="0"/>
          <w:i/>
          <w:sz w:val="24"/>
        </w:rPr>
        <w:t>Statutory reference: Section 168(1),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has received a communication from the Department demanding a deposit / raising a discrepancy of Rs. [____]. The communication cites no section, no rule and bears no Document Identification Number. The Act prescribes a complete code for assessment (Chapter XII, Sections 59–64) and for demands and recovery (Chapter XV, Sections 73–84, with Rule 142 and Forms GST DRC-01A / DRC-01).</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