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 Attachment PostSearch No Proceeding</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After the search of the Company’s premises under Section 67 was conducted and concluded — the panchnama drawn, signed and furnished — the Department attached the Company’s current account under Section 83. No notice under Section 73 or 74 has been issued, and no proceeding is pending against the Company. The attachment cannot stand: the power under Section 83 is conditioned on the existence of proceedings, on a tangible-material-based opinion that attachment is necessary to protect the revenue, and on proportionality.</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