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4"/>
        </w:rPr>
        <w:t>GOVERNMENT OF INDIA</w:t>
      </w:r>
    </w:p>
    <w:p>
      <w:pPr>
        <w:jc w:val="center"/>
      </w:pPr>
      <w:r>
        <w:rPr>
          <w:rFonts w:ascii="Times New Roman" w:hAnsi="Times New Roman"/>
          <w:b/>
          <w:i w:val="0"/>
          <w:sz w:val="24"/>
        </w:rPr>
        <w:t>DEPARTMENT OF CENTRAL / STATE TAX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[Range / Division / Commissionerate], [Jurisdiction]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FORM GST DRC-01A / System Intimation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DIN: [____________________]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Reference No.: [____________]      Dated: [____________]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To,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M/s Noticedesk Technologies Private Limited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GSTIN: [____________________]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[Registered Address]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Subject: Intimation of Liability / Departmental Communication — Rule86A Blocking Request for Reasons</w:t>
      </w:r>
    </w:p>
    <w:p>
      <w:pPr>
        <w:jc w:val="left"/>
      </w:pPr>
      <w:r>
        <w:rPr>
          <w:rFonts w:ascii="Times New Roman" w:hAnsi="Times New Roman"/>
          <w:b w:val="0"/>
          <w:i/>
          <w:sz w:val="24"/>
        </w:rPr>
        <w:t>Statutory reference: Section 73.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Sir / Madam,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On scrutiny of the returns, records and other particulars furnished by you / available on record, the Proper Officer has reason to believe as follows: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ALLEGATIONS / GROUNDS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The Company’s Electronic Credit Ledger has been blocked under Rule 86A, intimated only by an e-mail that states no reasons, no grounds and no material. Rule 86A is a drastic power exercisable only on the authorised officer’s ‘reasons to believe’, formed independently and recorded in writing, that the credit falls within the rule’s enumerated conditions; and the person affected is entitled to know those reasons in order to object.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DIRECTION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This intimation is issued for your information and necessary compliance. Where a response or corrective filing is warranted, you are requested to act within the time permitted under the relevant provision.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Yours faithfully,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_______________________________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(Proper Officer)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[Office Seal]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Place: [____________]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Date: [____________]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