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TRAN1 Verification Communication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140.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Company has received a communication seeking its purchase ledger and erstwhile credit ledger for verification of the transitional credit carried forward in Form GST TRAN-1. The communication cites no Act, no section and no framework under which it issues. The Company objects to the form: a requisition outside the statutory machinery is not one the Act recognises.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