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High ITC Utilisation Communication</w:t>
      </w:r>
    </w:p>
    <w:p>
      <w:pPr>
        <w:jc w:val="left"/>
      </w:pPr>
      <w:r>
        <w:rPr>
          <w:rFonts w:ascii="Times New Roman" w:hAnsi="Times New Roman"/>
          <w:b w:val="0"/>
          <w:i/>
          <w:sz w:val="24"/>
        </w:rPr>
        <w:t>Statutory reference: Section 49(4), GSTR-3B, DRC-01A,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Impugned Communication asks the Company to explain why 80–90% of its output tax liability in Form GSTR-3B is discharged by utilisation of input tax credit, and to furnish reasons with supporting documents. The communication cites no section and no rule, and the Act knows no such instrument: an apprehension of wrongly availed credit must travel through Rule 142 — Form GST DRC-01A / DRC-01 — or through scrutiny in Form GST ASMT-10.</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