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ASMT10 Eway Inward vs GSTR3B</w:t>
      </w:r>
    </w:p>
    <w:p>
      <w:pPr>
        <w:jc w:val="left"/>
      </w:pPr>
      <w:r>
        <w:rPr>
          <w:rFonts w:ascii="Times New Roman" w:hAnsi="Times New Roman"/>
          <w:b w:val="0"/>
          <w:i/>
          <w:sz w:val="24"/>
        </w:rPr>
        <w:t>Statutory reference: Section 61, ASMT-11, ASMT-10,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Treats the difference between (i) the aggregate value of e-way bills generated for the Company’s inward supplies and (ii) the taxable value declared in the Company’s GSTR-3B for FY 2020-21 as a discrepancy requiring explanation. The comparison is misconceived at its root: the GSTR-3B taxable value is the Company’s outward turnover, while inward e-way bills measure goods received — two different sides of the business that no provision equates.</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