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Rule159(5) Objection Undecided Escalation</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Company’s bank accounts stand attached under Section 83 since [date]. The Company filed its objection under Rule 159(5) on [date]. No hearing has been afforded and no order has been passed to this day. The Hon’ble Supreme Court has held, in terms, that the Rule 159(5) objection carries a mandatory right to be heard and to a reasoned, speaking order; an attachment continued in silence is an attachment continued without adjudication.</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