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TRAN1 ITC VestedRight Filco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140.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memo questions why the Company's transitional credit of the erstwhile VAT regime, carried forward in Form GST TRAN-1, should be allowed ‘after the time limit’. The answer is settled. Transitional credit is the Company's accrued, vested right — its ‘property’ — under the erstwhile law, carried forward into GST by Section 140; it cannot be extinguished merely because the form was filed late, the time limit for TRAN-1 being procedural and directory, not a substantive extinguishment of the right.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