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TRAN1 Rejection Reply VestedRight Filco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140, GSTR-3B.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Rejects the Company's transitional credit on a single ground — that Section 140 of the GST Act and the Rules prescribe a specific procedure and time limit for the TRAN-1 claim, beginning with an online filing within the due date, which the Company did not meet. That ground cannot sustain the rejection.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