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reversal on supplier not found by revenue</w:t>
      </w:r>
    </w:p>
    <w:p>
      <w:pPr>
        <w:jc w:val="left"/>
      </w:pPr>
      <w:r>
        <w:rPr>
          <w:rFonts w:ascii="Times New Roman" w:hAnsi="Times New Roman"/>
          <w:b w:val="0"/>
          <w:i/>
          <w:sz w:val="24"/>
        </w:rPr>
        <w:t>Statutory reference: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communication is not a notice known to the Act. The Act prescribes a complete code for assessment (Chapter XII) and for demand and recovery (Chapter XV), and any proposal to recover or reverse credit must issue as a Show Cause Notice under Rule 142 in Form DRC-01A/DRC-01 with the section, the allegation, the reason and the quantification.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