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RFD-06</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Order Sanctioning/Rejecting the Refund Claim (in part) — Refund rejection without reasons or hearing</w:t>
      </w:r>
    </w:p>
    <w:p>
      <w:pPr>
        <w:jc w:val="left"/>
      </w:pPr>
      <w:r>
        <w:rPr>
          <w:rFonts w:ascii="Times New Roman" w:hAnsi="Times New Roman"/>
          <w:b w:val="0"/>
          <w:i/>
          <w:sz w:val="24"/>
        </w:rPr>
        <w:t>Statutory reference: Section 107, APL-01, RFD-08, RFD-06.</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Proper Officer (Refunds):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appellant filed an application for refund in Form GST RFD-01 (ARN ____) on ________, duly acknowledged in Form GST RFD-02 by the office of the Assistant Commissioner. A notice in Form GST RFD-08 dated ________ was issued under Rule 92(3) proposing to reject the application. The notice stated the ground of rejection merely as “other”, without specifying any reason, and called for a reply within fifteen days.</w:t>
      </w:r>
    </w:p>
    <w:p>
      <w:pPr>
        <w:jc w:val="both"/>
      </w:pPr>
      <w:r>
        <w:rPr>
          <w:rFonts w:ascii="Times New Roman" w:hAnsi="Times New Roman"/>
          <w:b w:val="0"/>
          <w:i w:val="0"/>
          <w:sz w:val="24"/>
        </w:rPr>
        <w:t>The amount involved / demanded is computed at approximately Rs. 20,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(Refunds))</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