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Section 16(4) supplier filed GSTR-1 after September</w:t>
      </w:r>
    </w:p>
    <w:p>
      <w:pPr>
        <w:jc w:val="left"/>
      </w:pPr>
      <w:r>
        <w:rPr>
          <w:rFonts w:ascii="Times New Roman" w:hAnsi="Times New Roman"/>
          <w:b w:val="0"/>
          <w:i/>
          <w:sz w:val="24"/>
        </w:rPr>
        <w:t>Statutory reference: Section 16(4), DRC-01,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disallowance proceeds solely on the time limit in Section 16(4). That limit no longer governs the periods in question: by the Finance (No.2) Act 2024, Section 16(5) was inserted with retrospective effect to permit input tax credit for the financial years 2017-18 to 2020-21 where the credit was taken in a return furnished up to 30 November 2021, notwithstanding Section 16(4).</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