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GST on royalty RCM stay request</w:t>
      </w:r>
    </w:p>
    <w:p>
      <w:pPr>
        <w:jc w:val="left"/>
      </w:pPr>
      <w:r>
        <w:rPr>
          <w:rFonts w:ascii="Times New Roman" w:hAnsi="Times New Roman"/>
          <w:b w:val="0"/>
          <w:i/>
          <w:sz w:val="24"/>
        </w:rPr>
        <w:t>Statutory reference: Section 128A,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leviability of GST under reverse charge on royalty paid for mineral concessions is the subject of a batch of petitions pending before the Supreme Court, in which interim orders have stayed the payment/recovery of such GST. The noticee submits that the present demand ought to be kept in abeyance until the Supreme Court decides the issue, and that no coercive recovery be made in the meantime.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