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ITC mismatch 2A vs 3B FY 1718 and 1819</w:t>
      </w:r>
    </w:p>
    <w:p>
      <w:pPr>
        <w:jc w:val="left"/>
      </w:pPr>
      <w:r>
        <w:rPr>
          <w:rFonts w:ascii="Times New Roman" w:hAnsi="Times New Roman"/>
          <w:b w:val="0"/>
          <w:i/>
          <w:sz w:val="24"/>
        </w:rPr>
        <w:t>Statutory reference: Section 107, APL-01,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was served a Show Cause Notice in Form GST DRC-01 (Ref. No. ____ dated ________) under Section 73/74, alleging availment of input tax credit in Form GSTR-3B in excess of Form GSTR-2A for FY 2017-18 and FY 2018-19, and proposing tax of Rs. ____ with penalty. The appellant replied on ________, submitting that Form GSTR-2A was not the basis for availment of input tax credit for those years, and that the credit was availed on the strength of valid tax invoices and receipt of the supplies.</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