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ITC availed in GSTR-3B less than GSTR-2A</w:t>
      </w:r>
    </w:p>
    <w:p>
      <w:pPr>
        <w:jc w:val="left"/>
      </w:pPr>
      <w:r>
        <w:rPr>
          <w:rFonts w:ascii="Times New Roman" w:hAnsi="Times New Roman"/>
          <w:b w:val="0"/>
          <w:i/>
          <w:sz w:val="24"/>
        </w:rPr>
        <w:t>Statutory reference: Section 16(5), ASMT-10,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proceeds on the misconception that input tax credit must be availed up to the figure reflected in Form GSTR-2A. The position is the converse: Form GSTR-2A and Rule 36(4) prescribe the maximum credit that may be taken, not a minimum. Availing less credit than appears in Form GSTR-2A is in no manner a contravention of the Act or the rules.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