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Refund of cash paid on composition negative liability</w:t>
      </w:r>
    </w:p>
    <w:p>
      <w:pPr>
        <w:jc w:val="left"/>
      </w:pPr>
      <w:r>
        <w:rPr>
          <w:rFonts w:ascii="Times New Roman" w:hAnsi="Times New Roman"/>
          <w:b w:val="0"/>
          <w:i/>
          <w:sz w:val="24"/>
        </w:rPr>
        <w:t>Statutory reference: Section 54, RFD-08.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refund is of an amount paid twice. As a composition taxpayer, the noticee discharged its quarterly liability through Form GST CMP-08. On filing the annual return in Form GSTR-4, owing to the manner in which the portal computed the liability where Table 6 was not populated, the amount already paid through CMP-08 was demanded and paid again in cash, producing an excess payment.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