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REG-17 cancellation on unshared negative visit report</w:t>
      </w:r>
    </w:p>
    <w:p>
      <w:pPr>
        <w:jc w:val="left"/>
      </w:pPr>
      <w:r>
        <w:rPr>
          <w:rFonts w:ascii="Times New Roman" w:hAnsi="Times New Roman"/>
          <w:b w:val="0"/>
          <w:i/>
          <w:sz w:val="24"/>
        </w:rPr>
        <w:t>Statutory reference: REG-17.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cancellation solely on the basis of a negative spot/field visit report, which has not been furnished to the noticee. A show cause notice that relies on a report without disclosing it, and which states no material particulars, denies the noticee any meaningful opportunity to respond and is contrary to the principles of natural justice.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