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Issue DRC-07 after payment in Section 129 detention</w:t>
      </w:r>
    </w:p>
    <w:p>
      <w:pPr>
        <w:jc w:val="left"/>
      </w:pPr>
      <w:r>
        <w:rPr>
          <w:rFonts w:ascii="Times New Roman" w:hAnsi="Times New Roman"/>
          <w:b w:val="0"/>
          <w:i/>
          <w:sz w:val="24"/>
        </w:rPr>
        <w:t>Statutory reference: Section 129, MOV-09, DRC-07,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noticee’s goods and conveyance were detained under Section 129; the demand in Form GST MOV-07 was deposited (under protest) through Form GST DRC-03; the goods were released and an order in Form GST MOV-09 was passed. However, no summary of the order in Form GST DRC-07 has been uploaded. The absence of the Form DRC-07 is preventing the noticee from filing an appeal under Section 107.</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