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Recovery stay pending GST Appellate Tribunal</w:t>
      </w:r>
    </w:p>
    <w:p>
      <w:pPr>
        <w:jc w:val="left"/>
      </w:pPr>
      <w:r>
        <w:rPr>
          <w:rFonts w:ascii="Times New Roman" w:hAnsi="Times New Roman"/>
          <w:b w:val="0"/>
          <w:i/>
          <w:sz w:val="24"/>
        </w:rPr>
        <w:t>Statutory reference: Section 112, DRC-03, DRC-03A.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noticee’s appeal under Section 107 has been rejected by the Appellate Authority. The noticee intends to carry the matter in further appeal to the GST Appellate Tribunal under Section 112. On payment of the pre-deposit prescribed for the Tribunal appeal, recovery of the balance of the demand is stayed by operation of Section 112(9), and it is requested that no coercive recovery be initiated pending the appeal.</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