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Demand on GSTR-7 TDS vs GSTR-3B mismatch contractor</w:t>
      </w:r>
    </w:p>
    <w:p>
      <w:pPr>
        <w:jc w:val="left"/>
      </w:pPr>
      <w:r>
        <w:rPr>
          <w:rFonts w:ascii="Times New Roman" w:hAnsi="Times New Roman"/>
          <w:b w:val="0"/>
          <w:i/>
          <w:sz w:val="24"/>
        </w:rPr>
        <w:t>Statutory reference: Section 13), DRC-01, ASMT-10,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equates the value of tax deducted at source as reported by the deductor in Form GSTR-7 with the noticee’s taxable outward supply, and infers a short payment from the difference. The inference is unsound. The liability to pay tax arises by reference to the time of supply, whereas the deductor’s Form GSTR-7 reflects the timing and amount of the deductor’s payments, which need not coincide with the noticee’s taxable turnover for the period.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