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3B excess over 2A cumulative Rule 36(4) Feb to Sept 2020</w:t>
      </w:r>
    </w:p>
    <w:p>
      <w:pPr>
        <w:jc w:val="left"/>
      </w:pPr>
      <w:r>
        <w:rPr>
          <w:rFonts w:ascii="Times New Roman" w:hAnsi="Times New Roman"/>
          <w:b w:val="0"/>
          <w:i/>
          <w:sz w:val="24"/>
        </w:rPr>
        <w:t>Statutory reference: DRC-01, ASMT-10, GSTR-3B.</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For the months February to August 2020, the input tax credit restriction in Rule 36(4) applied not month by month but cumulatively, with the cumulative adjustment to be made in the return for September 2020. The notice, by testing the credit availed in June 2020 in isolation against that month’s Form GSTR-2A, misapplies the rule.</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