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Parallel proceedings by Centre and State same issue</w:t>
      </w:r>
    </w:p>
    <w:p>
      <w:pPr>
        <w:jc w:val="left"/>
      </w:pPr>
      <w:r>
        <w:rPr>
          <w:rFonts w:ascii="Times New Roman" w:hAnsi="Times New Roman"/>
          <w:b w:val="0"/>
          <w:i/>
          <w:sz w:val="24"/>
        </w:rPr>
        <w:t>Statutory reference: Section 6(2)(b), ASMT-10,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Central Tax authority has already initiated proceedings on the very same subject matter and for the same financial year, by a notice in Form GST ASMT-10 / DRC-01 (enclosed). Section 6(2)(b) bars this office from initiating proceedings on the same subject matter once the counterpart authority has done so. The present notice is therefore without jurisdiction.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