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Order passed without personal hearing Section 75(4)</w:t>
      </w:r>
    </w:p>
    <w:p>
      <w:pPr>
        <w:jc w:val="left"/>
      </w:pPr>
      <w:r>
        <w:rPr>
          <w:rFonts w:ascii="Times New Roman" w:hAnsi="Times New Roman"/>
          <w:b w:val="0"/>
          <w:i/>
          <w:sz w:val="24"/>
        </w:rPr>
        <w:t>Statutory reference: Section 73, DRC-07,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order under Section 73/74 has been passed without affording the noticee any opportunity of personal hearing. Section 75(4) makes such a hearing mandatory wherever an adverse decision is contemplated, quite apart from any written request. The order, having been passed in breach of that mandate and of the principles of natural justice, is liable to be set aside.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