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ASMT-13</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Best Judgment Assessment Order under Section 62 — Section 62 best judgment order deemed withdrawn on filing return</w:t>
      </w:r>
    </w:p>
    <w:p>
      <w:pPr>
        <w:jc w:val="left"/>
      </w:pPr>
      <w:r>
        <w:rPr>
          <w:rFonts w:ascii="Times New Roman" w:hAnsi="Times New Roman"/>
          <w:b w:val="0"/>
          <w:i/>
          <w:sz w:val="24"/>
        </w:rPr>
        <w:t>Statutory reference: Section 62.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w:t>
      </w:r>
    </w:p>
    <w:p>
      <w:pPr>
        <w:jc w:val="left"/>
      </w:pPr>
      <w:r>
        <w:rPr>
          <w:rFonts w:ascii="Times New Roman" w:hAnsi="Times New Roman"/>
          <w:b/>
          <w:i w:val="0"/>
          <w:sz w:val="24"/>
        </w:rPr>
        <w:t>ALLEGATIONS / GROUNDS</w:t>
      </w:r>
    </w:p>
    <w:p>
      <w:pPr>
        <w:jc w:val="both"/>
      </w:pPr>
      <w:r>
        <w:rPr>
          <w:rFonts w:ascii="Times New Roman" w:hAnsi="Times New Roman"/>
          <w:b w:val="0"/>
          <w:i w:val="0"/>
          <w:sz w:val="24"/>
        </w:rPr>
        <w:t>An assessment order was passed under Section 62(1) on the registered person's failure to file the return under Section 39 despite notice under Section 46. The registered person has since furnished the valid return for the relevant tax period, together with applicable interest under Section 50(1) and late fee under Section 47, within thirty days of service of the assessment order.</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