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RFD-08</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Rejection of Refund Claim — Compensation cess reversal or refund where output not cess-leviable</w:t>
      </w:r>
    </w:p>
    <w:p>
      <w:pPr>
        <w:jc w:val="left"/>
      </w:pPr>
      <w:r>
        <w:rPr>
          <w:rFonts w:ascii="Times New Roman" w:hAnsi="Times New Roman"/>
          <w:b w:val="0"/>
          <w:i/>
          <w:sz w:val="24"/>
        </w:rPr>
        <w:t>Statutory reference: Section 17(2), RFD-08.</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(Refunds)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noticee’s finished goods are taxable under GST but are not leviable to compensation cess. Credit of compensation cess borne on inputs has therefore accumulated. Such accumulation is not a ground for a bald reversal: for the purpose of the cess, a supply that bears no cess is to be treated as an exempt supply, and the credit is either apportioned under Section 17(2) read with Rule 42/43 or, where it has accumulated on inputs used in zero-rated exports, refundable under Section 54(3) read with Rule 89(4).</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(Refunds))</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