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Section 129 applies only to evasion not a procedural lapse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129.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verification of the returns and records furnished by you, discrepancies have been noticed in relation to: Section 129 applies only to evasion not a procedural lapse.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