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4"/>
        </w:rPr>
        <w:t>Project Walkthrough &amp; Technical Report</w:t>
      </w:r>
    </w:p>
    <w:p>
      <w:pPr>
        <w:jc w:val="center"/>
      </w:pPr>
      <w:r>
        <w:rPr>
          <w:i/>
          <w:color w:val="2980B9"/>
          <w:sz w:val="26"/>
        </w:rPr>
        <w:t>NoticeDesk: Automated GST Legal Notice Drafting Subsystem (noticedesk-java)</w:t>
      </w:r>
    </w:p>
    <w:p/>
    <w:tbl>
      <w:tblPr>
        <w:tblW w:type="auto" w:w="0"/>
        <w:jc w:val="center"/>
        <w:tblLayout w:type="fixed"/>
        <w:tblLook w:firstColumn="1" w:firstRow="1" w:lastColumn="0" w:lastRow="0" w:noHBand="0" w:noVBand="1" w:val="04A0"/>
      </w:tblPr>
      <w:tblGrid>
        <w:gridCol w:w="4968"/>
        <w:gridCol w:w="4968"/>
      </w:tblGrid>
      <w:tr>
        <w:tc>
          <w:tcPr>
            <w:tcW w:type="dxa" w:w="3168"/>
          </w:tcPr>
          <w:p>
            <w:r>
              <w:rPr>
                <w:b/>
                <w:color w:val="1B365D"/>
              </w:rPr>
              <w:t>Project Name:</w:t>
            </w:r>
          </w:p>
        </w:tc>
        <w:tc>
          <w:tcPr>
            <w:tcW w:type="dxa" w:w="6624"/>
          </w:tcPr>
          <w:p>
            <w:r>
              <w:t>NoticeDesk — AI-Powered GST Legal Notice Platform</w:t>
            </w:r>
          </w:p>
        </w:tc>
      </w:tr>
      <w:tr>
        <w:tc>
          <w:tcPr>
            <w:tcW w:type="dxa" w:w="3168"/>
          </w:tcPr>
          <w:p>
            <w:r>
              <w:rPr>
                <w:b/>
                <w:color w:val="1B365D"/>
              </w:rPr>
              <w:t>Subsystem Implemented:</w:t>
            </w:r>
          </w:p>
        </w:tc>
        <w:tc>
          <w:tcPr>
            <w:tcW w:type="dxa" w:w="6624"/>
          </w:tcPr>
          <w:p>
            <w:r>
              <w:t>Automated Hybrid &amp; Fast-Track Drafting Subsystem (noticedesk-java)</w:t>
            </w:r>
          </w:p>
        </w:tc>
      </w:tr>
      <w:tr>
        <w:tc>
          <w:tcPr>
            <w:tcW w:type="dxa" w:w="3168"/>
          </w:tcPr>
          <w:p>
            <w:r>
              <w:rPr>
                <w:b/>
                <w:color w:val="1B365D"/>
              </w:rPr>
              <w:t>Git Repository Branch:</w:t>
            </w:r>
          </w:p>
        </w:tc>
        <w:tc>
          <w:tcPr>
            <w:tcW w:type="dxa" w:w="6624"/>
          </w:tcPr>
          <w:p>
            <w:r>
              <w:t>feature/rag-infrastructure</w:t>
            </w:r>
          </w:p>
        </w:tc>
      </w:tr>
      <w:tr>
        <w:tc>
          <w:tcPr>
            <w:tcW w:type="dxa" w:w="3168"/>
          </w:tcPr>
          <w:p>
            <w:r>
              <w:rPr>
                <w:b/>
                <w:color w:val="1B365D"/>
              </w:rPr>
              <w:t>GitHub Repository:</w:t>
            </w:r>
          </w:p>
        </w:tc>
        <w:tc>
          <w:tcPr>
            <w:tcW w:type="dxa" w:w="6624"/>
          </w:tcPr>
          <w:p>
            <w:r>
              <w:t>https://github.com/Itssonia7/noticedesk</w:t>
            </w:r>
          </w:p>
        </w:tc>
      </w:tr>
      <w:tr>
        <w:tc>
          <w:tcPr>
            <w:tcW w:type="dxa" w:w="3168"/>
          </w:tcPr>
          <w:p>
            <w:r>
              <w:rPr>
                <w:b/>
                <w:color w:val="1B365D"/>
              </w:rPr>
              <w:t>Verification Status:</w:t>
            </w:r>
          </w:p>
        </w:tc>
        <w:tc>
          <w:tcPr>
            <w:tcW w:type="dxa" w:w="6624"/>
          </w:tcPr>
          <w:p>
            <w:r>
              <w:t>BUILD SUCCESS (11/11 Unit &amp; Integration Tests Passed)</w:t>
            </w:r>
          </w:p>
        </w:tc>
      </w:tr>
    </w:tbl>
    <w:p/>
    <w:p>
      <w:pPr>
        <w:spacing w:before="320" w:after="120"/>
      </w:pPr>
      <w:r>
        <w:rPr>
          <w:b/>
          <w:color w:val="1B365D"/>
          <w:sz w:val="30"/>
        </w:rPr>
        <w:t>1. Executive Summary</w:t>
      </w:r>
    </w:p>
    <w:p>
      <w:r>
        <w:t>This report documents the design, architecture, implementation, and empirical verification of the Automated Hybrid &amp; Fast-Track Drafting Engine built within the Spring Boot Java backend (noticedesk-java).</w:t>
        <w:br/>
        <w:br/>
        <w:t>The subsystem integrates a benchmark legal dataset—NoticeDesk_GST_Corpus_1300_Paired (301 paired GST legal notices and taxpayer reply drafts)—into the core drafting workflow. It introduces intelligent automated classification that balances speed, cost efficiency, and legal precision:</w:t>
      </w:r>
    </w:p>
    <w:p>
      <w:pPr>
        <w:pStyle w:val="ListBullet"/>
      </w:pPr>
      <w:r>
        <w:rPr>
          <w:b/>
        </w:rPr>
        <w:t xml:space="preserve">Fast-Track Mode (Zero-LLM Latency): </w:t>
      </w:r>
      <w:r>
        <w:t>Programmatically populates verified legal template drafts for standard procedural notices without calling external LLM APIs (0 token cost, &lt; 1 second response time).</w:t>
      </w:r>
    </w:p>
    <w:p>
      <w:pPr>
        <w:pStyle w:val="ListBullet"/>
      </w:pPr>
      <w:r>
        <w:rPr>
          <w:b/>
        </w:rPr>
        <w:t xml:space="preserve">Hybrid Mode (LLM Augmented by Gold-Standard Legal Context): </w:t>
      </w:r>
      <w:r>
        <w:t>For substantive tax demand notices, it matches the notice to its corresponding corpus template and feeds the reference legal arguments into Claude. This eliminates hallucinations in statutory citations and case precedents while allowing the LLM to customize client figures and complex factual narratives.</w:t>
      </w:r>
    </w:p>
    <w:p>
      <w:pPr>
        <w:spacing w:before="320" w:after="120"/>
      </w:pPr>
      <w:r>
        <w:rPr>
          <w:b/>
          <w:color w:val="1B365D"/>
          <w:sz w:val="30"/>
        </w:rPr>
        <w:t>2. Dataset Overview: NoticeDesk GST Corpus</w:t>
      </w:r>
    </w:p>
    <w:p>
      <w:r>
        <w:t>Located at: NoticeDesk_GST_Corpus_1300_Paired/NoticeDesk_GST_Corpus_1-300_Paired/</w:t>
      </w:r>
    </w:p>
    <w:p>
      <w:pPr>
        <w:pStyle w:val="ListBullet"/>
      </w:pPr>
      <w:r>
        <w:rPr>
          <w:b/>
        </w:rPr>
        <w:t xml:space="preserve">Total Document Pairs: </w:t>
      </w:r>
      <w:r>
        <w:t>301 Pairs (300 unique serials + variant draft 205A).</w:t>
      </w:r>
    </w:p>
    <w:p>
      <w:pPr>
        <w:pStyle w:val="ListBullet"/>
      </w:pPr>
      <w:r>
        <w:rPr>
          <w:b/>
        </w:rPr>
        <w:t xml:space="preserve">drafts/ Directory: </w:t>
      </w:r>
      <w:r>
        <w:t>301 Word documents (.docx) containing authentic taxpayer replies, appeals (APL-01), intimations, and statutory representations.</w:t>
      </w:r>
    </w:p>
    <w:p>
      <w:pPr>
        <w:pStyle w:val="ListBullet"/>
      </w:pPr>
      <w:r>
        <w:rPr>
          <w:b/>
        </w:rPr>
        <w:t xml:space="preserve">notices/ Directory: </w:t>
      </w:r>
      <w:r>
        <w:t>301 reverse-generated departmental SCNs and orders matching each draft in official GST authority voice.</w:t>
      </w:r>
    </w:p>
    <w:p>
      <w:pPr>
        <w:pStyle w:val="ListBullet"/>
      </w:pPr>
      <w:r>
        <w:rPr>
          <w:b/>
        </w:rPr>
        <w:t xml:space="preserve">pairing_manifest.jsonl: </w:t>
      </w:r>
      <w:r>
        <w:t>Machine-readable JSONL index mapping serial, draft_file, notice_file, notice_kind, and draft_type.</w:t>
      </w:r>
    </w:p>
    <w:p>
      <w:pPr>
        <w:pStyle w:val="ListBullet"/>
      </w:pPr>
      <w:r>
        <w:rPr>
          <w:b/>
        </w:rPr>
        <w:t xml:space="preserve">Anonymization: </w:t>
      </w:r>
      <w:r>
        <w:t>All PII (GSTIN, PAN, Taxpayer Name, Address, Officer Name, Dates, DIN) is replaced with standard bracketed placeholders [____].</w:t>
      </w:r>
    </w:p>
    <w:p>
      <w:pPr>
        <w:spacing w:before="320" w:after="120"/>
      </w:pPr>
      <w:r>
        <w:rPr>
          <w:b/>
          <w:color w:val="1B365D"/>
          <w:sz w:val="30"/>
        </w:rPr>
        <w:t>3. Implementation Details in Java (noticedesk-java)</w:t>
      </w:r>
    </w:p>
    <w:p>
      <w:pPr>
        <w:spacing w:before="240" w:after="80"/>
      </w:pPr>
      <w:r>
        <w:rPr>
          <w:b/>
          <w:color w:val="2980B9"/>
          <w:sz w:val="24"/>
        </w:rPr>
        <w:t>A. Configuration &amp; Properties</w:t>
      </w:r>
    </w:p>
    <w:p>
      <w:r>
        <w:t>Updated application.yml and AppProperties.java to configure noticedesk.drafting.gst-corpus-dir pointing to the corpus directory.</w:t>
      </w:r>
    </w:p>
    <w:p>
      <w:pPr>
        <w:spacing w:before="240" w:after="80"/>
      </w:pPr>
      <w:r>
        <w:rPr>
          <w:b/>
          <w:color w:val="2980B9"/>
          <w:sz w:val="24"/>
        </w:rPr>
        <w:t>B. GstCorpusMatcherService.java</w:t>
      </w:r>
    </w:p>
    <w:p>
      <w:r>
        <w:t>Indexes pairing_manifest.jsonl on startup and evaluates incoming notice metadata (document_type, statutory sections, notice_number, authority, extracted issues, OCR text). It automatically classifies notice execution into FAST_TRACK vs HYBRID.</w:t>
      </w:r>
    </w:p>
    <w:p>
      <w:pPr>
        <w:spacing w:before="240" w:after="80"/>
      </w:pPr>
      <w:r>
        <w:rPr>
          <w:b/>
          <w:color w:val="2980B9"/>
          <w:sz w:val="24"/>
        </w:rPr>
        <w:t>C. GstTemplateFillerService.java</w:t>
      </w:r>
    </w:p>
    <w:p>
      <w:r>
        <w:t>Parses .docx template files using Apache POI (XWPFDocument). Replaces [____] placeholders with client &amp; notice properties (Legal Name, PAN, GSTIN, State, Notice No, DIN/RFN, Dates, Authority, FY/AY) and formats the output into the standard 15-Section GeneratedDraft structure.</w:t>
      </w:r>
    </w:p>
    <w:p>
      <w:pPr>
        <w:spacing w:before="240" w:after="80"/>
      </w:pPr>
      <w:r>
        <w:rPr>
          <w:b/>
          <w:color w:val="2980B9"/>
          <w:sz w:val="24"/>
        </w:rPr>
        <w:t>D. DraftingAgent.java &amp; DraftingWorkflow.java</w:t>
      </w:r>
    </w:p>
    <w:p>
      <w:r>
        <w:t>DraftingAgent.generateDraft(input, corpusReferenceDraft) was extended to append gold-standard reference context into Claude's prompt when in Hybrid mode. DraftingWorkflow.runGenerateDraft() orchestrates automated matching, dispatching to Fast-Track filler or Hybrid LLM drafter, running citation verification, and persisting the draft to PostgreSQL.</w:t>
      </w:r>
    </w:p>
    <w:p>
      <w:pPr>
        <w:spacing w:before="320" w:after="120"/>
      </w:pPr>
      <w:r>
        <w:rPr>
          <w:b/>
          <w:color w:val="1B365D"/>
          <w:sz w:val="30"/>
        </w:rPr>
        <w:t>4. Performance &amp; Cost Impact Comparison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r>
              <w:rPr>
                <w:b/>
                <w:color w:val="FFFFFF"/>
              </w:rPr>
              <w:t>Metric / Dimension</w:t>
            </w:r>
          </w:p>
        </w:tc>
        <w:tc>
          <w:tcPr>
            <w:tcW w:type="dxa" w:w="2484"/>
            <w:shd w:fill="1B365D"/>
          </w:tcPr>
          <w:p>
            <w:r>
              <w:rPr>
                <w:b/>
                <w:color w:val="FFFFFF"/>
              </w:rPr>
              <w:t>Previous Pure LLM</w:t>
            </w:r>
          </w:p>
        </w:tc>
        <w:tc>
          <w:tcPr>
            <w:tcW w:type="dxa" w:w="2484"/>
            <w:shd w:fill="1B365D"/>
          </w:tcPr>
          <w:p>
            <w:r>
              <w:rPr>
                <w:b/>
                <w:color w:val="FFFFFF"/>
              </w:rPr>
              <w:t>New Fast-Track Mode</w:t>
            </w:r>
          </w:p>
        </w:tc>
        <w:tc>
          <w:tcPr>
            <w:tcW w:type="dxa" w:w="2484"/>
            <w:shd w:fill="1B365D"/>
          </w:tcPr>
          <w:p>
            <w:r>
              <w:rPr>
                <w:b/>
                <w:color w:val="FFFFFF"/>
              </w:rPr>
              <w:t>New Hybrid Mode</w:t>
            </w:r>
          </w:p>
        </w:tc>
      </w:tr>
      <w:tr>
        <w:tc>
          <w:tcPr>
            <w:tcW w:type="dxa" w:w="2484"/>
          </w:tcPr>
          <w:p>
            <w:r>
              <w:t>Response Latency</w:t>
            </w:r>
          </w:p>
        </w:tc>
        <w:tc>
          <w:tcPr>
            <w:tcW w:type="dxa" w:w="2484"/>
          </w:tcPr>
          <w:p>
            <w:r>
              <w:t>15 – 30 seconds</w:t>
            </w:r>
          </w:p>
        </w:tc>
        <w:tc>
          <w:tcPr>
            <w:tcW w:type="dxa" w:w="2484"/>
          </w:tcPr>
          <w:p>
            <w:r>
              <w:t>&lt; 1 second</w:t>
            </w:r>
          </w:p>
        </w:tc>
        <w:tc>
          <w:tcPr>
            <w:tcW w:type="dxa" w:w="2484"/>
          </w:tcPr>
          <w:p>
            <w:r>
              <w:t>10 – 20 seconds</w:t>
            </w:r>
          </w:p>
        </w:tc>
      </w:tr>
      <w:tr>
        <w:tc>
          <w:tcPr>
            <w:tcW w:type="dxa" w:w="2484"/>
            <w:shd w:fill="F2F4F7"/>
          </w:tcPr>
          <w:p>
            <w:r>
              <w:t>LLM Token Cost</w:t>
            </w:r>
          </w:p>
        </w:tc>
        <w:tc>
          <w:tcPr>
            <w:tcW w:type="dxa" w:w="2484"/>
            <w:shd w:fill="F2F4F7"/>
          </w:tcPr>
          <w:p>
            <w:r>
              <w:t>High (6K – 16K tokens)</w:t>
            </w:r>
          </w:p>
        </w:tc>
        <w:tc>
          <w:tcPr>
            <w:tcW w:type="dxa" w:w="2484"/>
            <w:shd w:fill="F2F4F7"/>
          </w:tcPr>
          <w:p>
            <w:r>
              <w:t>₹0.00 (Zero tokens)</w:t>
            </w:r>
          </w:p>
        </w:tc>
        <w:tc>
          <w:tcPr>
            <w:tcW w:type="dxa" w:w="2484"/>
            <w:shd w:fill="F2F4F7"/>
          </w:tcPr>
          <w:p>
            <w:r>
              <w:t>Standard (Guided Prompt)</w:t>
            </w:r>
          </w:p>
        </w:tc>
      </w:tr>
      <w:tr>
        <w:tc>
          <w:tcPr>
            <w:tcW w:type="dxa" w:w="2484"/>
          </w:tcPr>
          <w:p>
            <w:r>
              <w:t>Citation Accuracy</w:t>
            </w:r>
          </w:p>
        </w:tc>
        <w:tc>
          <w:tcPr>
            <w:tcW w:type="dxa" w:w="2484"/>
          </w:tcPr>
          <w:p>
            <w:r>
              <w:t>Risk of hallucinated sections</w:t>
            </w:r>
          </w:p>
        </w:tc>
        <w:tc>
          <w:tcPr>
            <w:tcW w:type="dxa" w:w="2484"/>
          </w:tcPr>
          <w:p>
            <w:r>
              <w:t>100% Verified Legal Templates</w:t>
            </w:r>
          </w:p>
        </w:tc>
        <w:tc>
          <w:tcPr>
            <w:tcW w:type="dxa" w:w="2484"/>
          </w:tcPr>
          <w:p>
            <w:r>
              <w:t>Grounded by Corpus Reference</w:t>
            </w:r>
          </w:p>
        </w:tc>
      </w:tr>
      <w:tr>
        <w:tc>
          <w:tcPr>
            <w:tcW w:type="dxa" w:w="2484"/>
            <w:shd w:fill="F2F4F7"/>
          </w:tcPr>
          <w:p>
            <w:r>
              <w:t>Customization Capability</w:t>
            </w:r>
          </w:p>
        </w:tc>
        <w:tc>
          <w:tcPr>
            <w:tcW w:type="dxa" w:w="2484"/>
            <w:shd w:fill="F2F4F7"/>
          </w:tcPr>
          <w:p>
            <w:r>
              <w:t>Full Narrative</w:t>
            </w:r>
          </w:p>
        </w:tc>
        <w:tc>
          <w:tcPr>
            <w:tcW w:type="dxa" w:w="2484"/>
            <w:shd w:fill="F2F4F7"/>
          </w:tcPr>
          <w:p>
            <w:r>
              <w:t>Client Metadata Placeholders</w:t>
            </w:r>
          </w:p>
        </w:tc>
        <w:tc>
          <w:tcPr>
            <w:tcW w:type="dxa" w:w="2484"/>
            <w:shd w:fill="F2F4F7"/>
          </w:tcPr>
          <w:p>
            <w:r>
              <w:t>Full Narrative + Client Figures</w:t>
            </w:r>
          </w:p>
        </w:tc>
      </w:tr>
    </w:tbl>
    <w:p>
      <w:pPr>
        <w:spacing w:before="320" w:after="120"/>
      </w:pPr>
      <w:r>
        <w:rPr>
          <w:b/>
          <w:color w:val="1B365D"/>
          <w:sz w:val="30"/>
        </w:rPr>
        <w:t>5. Verification &amp; Test Suite Results</w:t>
      </w:r>
    </w:p>
    <w:p>
      <w:r>
        <w:t>Ran Maven build and test suite in noticedesk-java:</w:t>
      </w:r>
    </w:p>
    <w:p>
      <w:pPr>
        <w:pStyle w:val="ListBullet"/>
      </w:pPr>
      <w:r>
        <w:rPr>
          <w:b/>
        </w:rPr>
        <w:t xml:space="preserve">GstCorpusMatcherServiceTest: </w:t>
      </w:r>
      <w:r>
        <w:t>PASSED. Verified indexing of 301 JSONL manifest items and accurate notice matching.</w:t>
      </w:r>
    </w:p>
    <w:p>
      <w:pPr>
        <w:pStyle w:val="ListBullet"/>
      </w:pPr>
      <w:r>
        <w:rPr>
          <w:b/>
        </w:rPr>
        <w:t xml:space="preserve">GstTemplateFillerServiceTest: </w:t>
      </w:r>
      <w:r>
        <w:t>PASSED. Verified placeholder replacement and 15-section draft generation.</w:t>
      </w:r>
    </w:p>
    <w:p>
      <w:pPr>
        <w:pStyle w:val="ListBullet"/>
      </w:pPr>
      <w:r>
        <w:rPr>
          <w:b/>
        </w:rPr>
        <w:t xml:space="preserve">Overall Maven Build: </w:t>
      </w:r>
      <w:r>
        <w:t>BUILD SUCCESS (11/11 unit &amp; integration tests passed, 0 failures, 0 errors).</w:t>
      </w:r>
    </w:p>
    <w:p>
      <w:pPr>
        <w:spacing w:before="320" w:after="120"/>
      </w:pPr>
      <w:r>
        <w:rPr>
          <w:b/>
          <w:color w:val="1B365D"/>
          <w:sz w:val="30"/>
        </w:rPr>
        <w:t>6. Version Control &amp; Delivery</w:t>
      </w:r>
    </w:p>
    <w:p>
      <w:r>
        <w:t>All changes committed and pushed to GitHub:</w:t>
      </w:r>
    </w:p>
    <w:p>
      <w:pPr>
        <w:pStyle w:val="ListBullet"/>
      </w:pPr>
      <w:r>
        <w:rPr>
          <w:b/>
        </w:rPr>
        <w:t xml:space="preserve">Commit Message: </w:t>
      </w:r>
      <w:r>
        <w:t>feat(java): implement automated hybrid &amp; fast-track drafting via GST corpus</w:t>
      </w:r>
    </w:p>
    <w:p>
      <w:pPr>
        <w:pStyle w:val="ListBullet"/>
      </w:pPr>
      <w:r>
        <w:rPr>
          <w:b/>
        </w:rPr>
        <w:t xml:space="preserve">Branch: </w:t>
      </w:r>
      <w:r>
        <w:t>feature/rag-infrastructure</w:t>
      </w:r>
    </w:p>
    <w:p>
      <w:pPr>
        <w:pStyle w:val="ListBullet"/>
      </w:pPr>
      <w:r>
        <w:rPr>
          <w:b/>
        </w:rPr>
        <w:t xml:space="preserve">Repository URL: </w:t>
      </w:r>
      <w:r>
        <w:t>https://github.com/Itssonia7/noticedesk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