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Scenario 2: Novel Notice Output</w:t>
      </w:r>
    </w:p>
    <w:p>
      <w:pPr>
        <w:jc w:val="center"/>
      </w:pPr>
      <w:r>
        <w:rPr>
          <w:b/>
          <w:color w:val="2980B9"/>
          <w:sz w:val="22"/>
        </w:rPr>
        <w:t>STATUS: FRESH CLAUDE LLM DRAFT + AUTO-CACHED (SCORE &lt; 70%)</w:t>
      </w:r>
    </w:p>
    <w:p>
      <w:r>
        <w:t>SCENARIO 2: NOVEL NOTICE &amp; AUTO-CACHING</w:t>
      </w:r>
    </w:p>
    <w:p>
      <w:r>
        <w:rPr>
          <w:i/>
        </w:rPr>
        <w:t>Prompt Version: fast_track_corpus_v1</w:t>
      </w:r>
    </w:p>
    <w:p>
      <w:r>
        <w:rPr>
          <w:i/>
        </w:rPr>
        <w:t>Provider: fast-track</w:t>
      </w:r>
    </w:p>
    <w:p>
      <w:pPr>
        <w:spacing w:before="240" w:after="80"/>
      </w:pPr>
      <w:r>
        <w:rPr>
          <w:b/>
          <w:color w:val="1B365D"/>
          <w:sz w:val="24"/>
        </w:rPr>
        <w:t>SECTION 1: Title &amp; Header</w:t>
      </w:r>
    </w:p>
    <w:p>
      <w:r>
        <w:t>BEFORE THE PROPER OFFICER, GOODS AND SERVICES TAX DEPARTMENTREPLY TO SHOW CAUSE NOTICE / INTIMATION</w:t>
      </w:r>
    </w:p>
    <w:p>
      <w:pPr>
        <w:spacing w:before="240" w:after="80"/>
      </w:pPr>
      <w:r>
        <w:rPr>
          <w:b/>
          <w:color w:val="1B365D"/>
          <w:sz w:val="24"/>
        </w:rPr>
        <w:t>SECTION 2: Jurisdiction &amp; Forum</w:t>
      </w:r>
    </w:p>
    <w:p>
      <w:r>
        <w:t>To: Proper Officer, Ward 10Jurisdiction: Maharashtra</w:t>
      </w:r>
    </w:p>
    <w:p>
      <w:pPr>
        <w:spacing w:before="240" w:after="80"/>
      </w:pPr>
      <w:r>
        <w:rPr>
          <w:b/>
          <w:color w:val="1B365D"/>
          <w:sz w:val="24"/>
        </w:rPr>
        <w:t>SECTION 3: Taxpayer Details</w:t>
      </w:r>
    </w:p>
    <w:p>
      <w:r>
        <w:t>Taxpayer Name: CryptoNode Systems India</w:t>
        <w:br/>
        <w:t>GSTIN: 27BBBCC9876K1Z9</w:t>
        <w:br/>
        <w:t>PAN: AAACA1234A</w:t>
      </w:r>
    </w:p>
    <w:p>
      <w:pPr>
        <w:spacing w:before="240" w:after="80"/>
      </w:pPr>
      <w:r>
        <w:rPr>
          <w:b/>
          <w:color w:val="1B365D"/>
          <w:sz w:val="24"/>
        </w:rPr>
        <w:t>SECTION 4: Notice Reference &amp; Subject</w:t>
      </w:r>
    </w:p>
    <w:p>
      <w:r>
        <w:t>Ref Notice No: CUSTOM/999/2026 | DIN/RFN: DIN-2026-99</w:t>
      </w:r>
    </w:p>
    <w:p>
      <w:pPr>
        <w:spacing w:before="240" w:after="80"/>
      </w:pPr>
      <w:r>
        <w:rPr>
          <w:b/>
          <w:color w:val="1B365D"/>
          <w:sz w:val="24"/>
        </w:rPr>
        <w:t>SECTION 5: Statement of Facts</w:t>
      </w:r>
    </w:p>
    <w:p>
      <w:r>
        <w:t>The Taxpayer respectfully submits the factual background of the matter for Financial Year 2023-24.</w:t>
      </w:r>
    </w:p>
    <w:p>
      <w:pPr>
        <w:spacing w:before="240" w:after="80"/>
      </w:pPr>
      <w:r>
        <w:rPr>
          <w:b/>
          <w:color w:val="1B365D"/>
          <w:sz w:val="24"/>
        </w:rPr>
        <w:t>SECTION 6: Preliminary Objections</w:t>
      </w:r>
    </w:p>
    <w:p>
      <w:r>
        <w:t>1. The subject notice/intimation is barred by limitation and procedural defects under the GST Law.</w:t>
        <w:br/>
        <w:t>2. Absence of proper DIN/RFN invalidates the proceeding per CBIC circulars.</w:t>
      </w:r>
    </w:p>
    <w:p>
      <w:pPr>
        <w:spacing w:before="240" w:after="80"/>
      </w:pPr>
      <w:r>
        <w:rPr>
          <w:b/>
          <w:color w:val="1B365D"/>
          <w:sz w:val="24"/>
        </w:rPr>
        <w:t>SECTION 7: Substantive Reply &amp; Defense</w:t>
      </w:r>
    </w:p>
    <w:p>
      <w:r>
        <w:t>&lt;div class="template-body"&gt;REPLY ON BEHALF OF CryptoNode Systems IndiaGSTIN: 27BBBCC9876K1Z9Respected Sir/Madam,With reference to the notice/intimation issued under GST Law for FY 2023-24, we submit that all tax liabilities have been duly discharged in accordance with law. It is requested that the proposed proceedings be dropped and closure issued.Thanking you,</w:t>
        <w:br/>
        <w:t>CryptoNode Systems India&lt;/div&gt;</w:t>
      </w:r>
    </w:p>
    <w:p>
      <w:pPr>
        <w:spacing w:before="240" w:after="80"/>
      </w:pPr>
      <w:r>
        <w:rPr>
          <w:b/>
          <w:color w:val="1B365D"/>
          <w:sz w:val="24"/>
        </w:rPr>
        <w:t>SECTION 8: Statutory Provisions &amp; Analysis</w:t>
      </w:r>
    </w:p>
    <w:p>
      <w:r>
        <w:t>Analysis of applicable provisions under Sections 16, 73, 74, 75, 129, and 140 of the Central Goods and Services Tax Act, 2017.</w:t>
      </w:r>
    </w:p>
    <w:p>
      <w:pPr>
        <w:spacing w:before="240" w:after="80"/>
      </w:pPr>
      <w:r>
        <w:rPr>
          <w:b/>
          <w:color w:val="1B365D"/>
          <w:sz w:val="24"/>
        </w:rPr>
        <w:t>SECTION 9: Precedents &amp; Judicial Decisions</w:t>
      </w:r>
    </w:p>
    <w:p>
      <w:r>
        <w:t>Relied upon binding precedents of the Hon'ble Supreme Court and High Courts regarding natural justice and statutory compliance under GST.</w:t>
      </w:r>
    </w:p>
    <w:p>
      <w:pPr>
        <w:spacing w:before="240" w:after="80"/>
      </w:pPr>
      <w:r>
        <w:rPr>
          <w:b/>
          <w:color w:val="1B365D"/>
          <w:sz w:val="24"/>
        </w:rPr>
        <w:t>SECTION 10: Documentary Evidence List</w:t>
      </w:r>
    </w:p>
    <w:p>
      <w:r>
        <w:t>• Copy of GSTR-3B &amp; GSTR-1 returns• GSTR-2A/2B Reconciliation Statement• Tax payment receipts (DRC-03)</w:t>
      </w:r>
    </w:p>
    <w:p>
      <w:pPr>
        <w:spacing w:before="240" w:after="80"/>
      </w:pPr>
      <w:r>
        <w:rPr>
          <w:b/>
          <w:color w:val="1B365D"/>
          <w:sz w:val="24"/>
        </w:rPr>
        <w:t>SECTION 11: Prayer Clause</w:t>
      </w:r>
    </w:p>
    <w:p>
      <w:r>
        <w:t>In light of the above submissions, it is prayed that the proposed proceedings/demand be dropped and proceedings closed.</w:t>
      </w:r>
    </w:p>
    <w:p>
      <w:pPr>
        <w:spacing w:before="240" w:after="80"/>
      </w:pPr>
      <w:r>
        <w:rPr>
          <w:b/>
          <w:color w:val="1B365D"/>
          <w:sz w:val="24"/>
        </w:rPr>
        <w:t>SECTION 12: Verification &amp; Declaration</w:t>
      </w:r>
    </w:p>
    <w:p>
      <w:r>
        <w:t>I, Authorized Signatory for CryptoNode Systems India, do hereby verify that the contents of this reply are true to the best of my knowledge and belief.</w:t>
      </w:r>
    </w:p>
    <w:p>
      <w:pPr>
        <w:spacing w:before="240" w:after="80"/>
      </w:pPr>
      <w:r>
        <w:rPr>
          <w:b/>
          <w:color w:val="1B365D"/>
          <w:sz w:val="24"/>
        </w:rPr>
        <w:t>SECTION 13: Signature &amp; Representation</w:t>
      </w:r>
    </w:p>
    <w:p>
      <w:r>
        <w:t>For CryptoNode Systems India</w:t>
        <w:br/>
        <w:br/>
        <w:t>Authorized Signatory / Legal Advocate</w:t>
      </w:r>
    </w:p>
    <w:p>
      <w:pPr>
        <w:spacing w:before="240" w:after="80"/>
      </w:pPr>
      <w:r>
        <w:rPr>
          <w:b/>
          <w:color w:val="1B365D"/>
          <w:sz w:val="24"/>
        </w:rPr>
        <w:t>SECTION 14: Internal Partner Note</w:t>
      </w:r>
    </w:p>
    <w:p>
      <w:r>
        <w:t>Fast-tracked output compiled from verified GST legal template.</w:t>
      </w:r>
    </w:p>
    <w:p>
      <w:pPr>
        <w:spacing w:before="240" w:after="80"/>
      </w:pPr>
      <w:r>
        <w:rPr>
          <w:b/>
          <w:color w:val="1B365D"/>
          <w:sz w:val="24"/>
        </w:rPr>
        <w:t>SECTION 15: Client Summary</w:t>
      </w:r>
    </w:p>
    <w:p>
      <w:r>
        <w:t>Formal reply prepared and submitted for filing before the Proper Officer.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