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8"/>
          <w:szCs w:val="28"/>
        </w:rPr>
        <w:t xml:space="preserve">FORM GST APL-01</w:t>
      </w:r>
    </w:p>
    <w:p>
      <w:pPr>
        <w:spacing w:after="80"/>
        <w:jc w:val="center"/>
      </w:pPr>
      <w:r>
        <w:rPr>
          <w:rFonts w:ascii="Times New Roman" w:cs="Times New Roman" w:eastAsia="Times New Roman" w:hAnsi="Times New Roman"/>
          <w:b/>
          <w:bCs/>
          <w:caps w:val="false"/>
          <w:sz w:val="22"/>
          <w:szCs w:val="22"/>
        </w:rPr>
        <w:t xml:space="preserve">[See Rule 108(1) of the CGST / KGST Rules, 2017]</w:t>
      </w:r>
    </w:p>
    <w:p>
      <w:pPr>
        <w:spacing w:after="200"/>
        <w:jc w:val="center"/>
      </w:pPr>
      <w:r>
        <w:rPr>
          <w:rFonts w:ascii="Times New Roman" w:cs="Times New Roman" w:eastAsia="Times New Roman" w:hAnsi="Times New Roman"/>
          <w:b/>
          <w:bCs/>
          <w:caps w:val="false"/>
          <w:sz w:val="24"/>
          <w:szCs w:val="24"/>
        </w:rPr>
        <w:t xml:space="preserve">Appeal to the Appellate Authority under Section 107</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to be completed from the record. The detention chronology (MOV-06 detention citing “E-Way Bill Tendered but Expired”, MOV-07 SCN under Section 129(3) of the Karnataka GST Act, MOV-09 order) is reproduced from the source. The pre-deposit is computed per the proviso to Section 107(6); see the inline note. Per the locked house standard the appeal is executed by the Authorised Signatory / Director — the source’s proprietorship verification block is superseded (signatory tension carried forward for review).</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GSTIN / Temporary ID / UIN: </w:t>
      </w:r>
      <w:r>
        <w:rPr>
          <w:rFonts w:ascii="Times New Roman" w:cs="Times New Roman" w:eastAsia="Times New Roman" w:hAnsi="Times New Roman"/>
          <w:b w:val="false"/>
          <w:bCs w:val="false"/>
          <w:i w:val="false"/>
          <w:iCs w:val="false"/>
          <w:caps w:val="false"/>
          <w:sz w:val="24"/>
          <w:szCs w:val="24"/>
        </w:rPr>
        <w:t xml:space="preserve">[____________]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Legal name of the appellant: </w:t>
      </w:r>
      <w:r>
        <w:rPr>
          <w:rFonts w:ascii="Times New Roman" w:cs="Times New Roman" w:eastAsia="Times New Roman" w:hAnsi="Times New Roman"/>
          <w:b w:val="false"/>
          <w:bCs w:val="false"/>
          <w:i w:val="false"/>
          <w:iCs w:val="false"/>
          <w:caps w:val="false"/>
          <w:sz w:val="24"/>
          <w:szCs w:val="24"/>
        </w:rPr>
        <w:t xml:space="preserve">M/s Noticedesk Technologies Private Limited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Trade name, if any: </w:t>
      </w:r>
      <w:r>
        <w:rPr>
          <w:rFonts w:ascii="Times New Roman" w:cs="Times New Roman" w:eastAsia="Times New Roman" w:hAnsi="Times New Roman"/>
          <w:b w:val="false"/>
          <w:bCs w:val="false"/>
          <w:i w:val="false"/>
          <w:iCs w:val="false"/>
          <w:caps w:val="false"/>
          <w:sz w:val="24"/>
          <w:szCs w:val="24"/>
        </w:rPr>
        <w:t xml:space="preserve">[____]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Address: </w:t>
      </w:r>
      <w:r>
        <w:rPr>
          <w:rFonts w:ascii="Times New Roman" w:cs="Times New Roman" w:eastAsia="Times New Roman" w:hAnsi="Times New Roman"/>
          <w:b w:val="false"/>
          <w:bCs w:val="false"/>
          <w:i w:val="false"/>
          <w:iCs w:val="false"/>
          <w:caps w:val="false"/>
          <w:sz w:val="24"/>
          <w:szCs w:val="24"/>
        </w:rPr>
        <w:t xml:space="preserve">[Registered Address]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Order appealed against: </w:t>
      </w:r>
      <w:r>
        <w:rPr>
          <w:rFonts w:ascii="Times New Roman" w:cs="Times New Roman" w:eastAsia="Times New Roman" w:hAnsi="Times New Roman"/>
          <w:b w:val="false"/>
          <w:bCs w:val="false"/>
          <w:i w:val="false"/>
          <w:iCs w:val="false"/>
          <w:caps w:val="false"/>
          <w:sz w:val="24"/>
          <w:szCs w:val="24"/>
        </w:rPr>
        <w:t xml:space="preserve">Order in Form GST MOV-09, Reference No. [____] dated [____], passed under Section 129(3) of the KGST/CGST Act by [designation of the Proper Officer].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Designation and address of the authority passing the order: </w:t>
      </w:r>
      <w:r>
        <w:rPr>
          <w:rFonts w:ascii="Times New Roman" w:cs="Times New Roman" w:eastAsia="Times New Roman" w:hAnsi="Times New Roman"/>
          <w:b w:val="false"/>
          <w:bCs w:val="false"/>
          <w:i w:val="false"/>
          <w:iCs w:val="false"/>
          <w:caps w:val="false"/>
          <w:sz w:val="24"/>
          <w:szCs w:val="24"/>
        </w:rPr>
        <w:t xml:space="preserve">[____]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Date of communication of the order: </w:t>
      </w:r>
      <w:r>
        <w:rPr>
          <w:rFonts w:ascii="Times New Roman" w:cs="Times New Roman" w:eastAsia="Times New Roman" w:hAnsi="Times New Roman"/>
          <w:b w:val="false"/>
          <w:bCs w:val="false"/>
          <w:i w:val="false"/>
          <w:iCs w:val="false"/>
          <w:caps w:val="false"/>
          <w:sz w:val="24"/>
          <w:szCs w:val="24"/>
        </w:rPr>
        <w:t xml:space="preserve">[____]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Name and address of the authorised representative: </w:t>
      </w:r>
      <w:r>
        <w:rPr>
          <w:rFonts w:ascii="Times New Roman" w:cs="Times New Roman" w:eastAsia="Times New Roman" w:hAnsi="Times New Roman"/>
          <w:b w:val="false"/>
          <w:bCs w:val="false"/>
          <w:i w:val="false"/>
          <w:iCs w:val="false"/>
          <w:caps w:val="false"/>
          <w:sz w:val="24"/>
          <w:szCs w:val="24"/>
        </w:rPr>
        <w:t xml:space="preserve">[____]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Details of the case — period of dispute, goods and conveyance: </w:t>
      </w:r>
      <w:r>
        <w:rPr>
          <w:rFonts w:ascii="Times New Roman" w:cs="Times New Roman" w:eastAsia="Times New Roman" w:hAnsi="Times New Roman"/>
          <w:b w:val="false"/>
          <w:bCs w:val="false"/>
          <w:i w:val="false"/>
          <w:iCs w:val="false"/>
          <w:caps w:val="false"/>
          <w:sz w:val="24"/>
          <w:szCs w:val="24"/>
        </w:rPr>
        <w:t xml:space="preserve">Detention of goods and conveyance [vehicle No. ____] on [date] at [place]; invoice No. [____] dated [____]; e-way bill No. [____] (validity expired on [date/time]); tax Rs. [____]; penalty Rs. [____] under Section 129(1)(a) and Rs. 4,71,336 under Section 129(1)(b) [as per the impugned order].</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Whether the appeal is filed within time: </w:t>
      </w:r>
      <w:r>
        <w:rPr>
          <w:rFonts w:ascii="Times New Roman" w:cs="Times New Roman" w:eastAsia="Times New Roman" w:hAnsi="Times New Roman"/>
          <w:b w:val="false"/>
          <w:bCs w:val="false"/>
          <w:i w:val="false"/>
          <w:iCs w:val="false"/>
          <w:caps w:val="false"/>
          <w:sz w:val="24"/>
          <w:szCs w:val="24"/>
        </w:rPr>
        <w:t xml:space="preserve">Yes — within three months of communication (Section 107(1)). [If delayed: application for condonation under Section 107(4) enclosed.]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Amount of demand created, admitted and disputed: </w:t>
      </w:r>
      <w:r>
        <w:rPr>
          <w:rFonts w:ascii="Times New Roman" w:cs="Times New Roman" w:eastAsia="Times New Roman" w:hAnsi="Times New Roman"/>
          <w:b w:val="false"/>
          <w:bCs w:val="false"/>
          <w:i w:val="false"/>
          <w:iCs w:val="false"/>
          <w:caps w:val="false"/>
          <w:sz w:val="24"/>
          <w:szCs w:val="24"/>
        </w:rPr>
        <w:t xml:space="preserve">Created: tax Rs. [____] + penalty Rs. [____]. Admitted: NIL. Disputed: the entire demand.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Details of payment of admitted amount and pre-deposit: </w:t>
      </w:r>
      <w:r>
        <w:rPr>
          <w:rFonts w:ascii="Times New Roman" w:cs="Times New Roman" w:eastAsia="Times New Roman" w:hAnsi="Times New Roman"/>
          <w:b w:val="false"/>
          <w:bCs w:val="false"/>
          <w:i w:val="false"/>
          <w:iCs w:val="false"/>
          <w:caps w:val="false"/>
          <w:sz w:val="24"/>
          <w:szCs w:val="24"/>
        </w:rPr>
        <w:t xml:space="preserve">Admitted amount: NIL. Pre-deposit: Rs. [____], being 25% of the penalty in dispute, paid by Form GST DRC-03, ARN [____] dated [____], in terms of the proviso to Section 107(6).</w:t>
      </w:r>
    </w:p>
    <w:p>
      <w:pPr>
        <w:spacing w:after="120" w:before="120"/>
        <w:jc w:val="both"/>
      </w:pPr>
      <w:r>
        <w:rPr>
          <w:rFonts w:ascii="Times New Roman" w:cs="Times New Roman" w:eastAsia="Times New Roman" w:hAnsi="Times New Roman"/>
          <w:b/>
          <w:bCs/>
          <w:i/>
          <w:iCs/>
          <w:sz w:val="20"/>
          <w:szCs w:val="20"/>
        </w:rPr>
        <w:t xml:space="preserve">Pre-deposit note (for review): </w:t>
      </w:r>
      <w:r>
        <w:rPr>
          <w:rFonts w:ascii="Times New Roman" w:cs="Times New Roman" w:eastAsia="Times New Roman" w:hAnsi="Times New Roman"/>
          <w:i/>
          <w:iCs/>
          <w:sz w:val="20"/>
          <w:szCs w:val="20"/>
        </w:rPr>
        <w:t xml:space="preserve">For an order under Section 129(3), the proviso to Section 107(6) requires a pre-deposit of 25% of the penalty in dispute. For detentions before 01.01.2022 the order levies tax and 100% penalty under the unamended Section 129(1)(a); for detentions on or after 01.01.2022 (Finance Act, 2021, brought into force by Notification No. 39/2021-Central Tax dated 21.12.2021) the levy under clause (a) is penalty of 200% of the tax payable, with no tax component. Compute the pre-deposit on the penalty per the regime applicable to the detention date. [VERIFY]</w:t>
      </w:r>
    </w:p>
    <w:p>
      <w:pPr>
        <w:spacing w:after="80" w:before="240"/>
        <w:jc w:val="center"/>
      </w:pPr>
      <w:r>
        <w:rPr>
          <w:rFonts w:ascii="Times New Roman" w:cs="Times New Roman" w:eastAsia="Times New Roman" w:hAnsi="Times New Roman"/>
          <w:b/>
          <w:bCs/>
          <w:caps w:val="false"/>
          <w:sz w:val="26"/>
          <w:szCs w:val="26"/>
        </w:rPr>
        <w:t xml:space="preserve">ANNEXURE A — STATEMENT OF FACTS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M/s Noticedesk Technologies Private Limited (the “Appellant”) files this appeal against the Order-in-Original in Form GST MOV-09, Reference No. [____] dated [____] (the “Impugned Order”), passed under Section 129(3) (copy at Annexure 1). The facts are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Goods despatched under tax invoice No. [____] with e-way bill No. [____]; vehicle No. [____]</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Invoice; e-way bill (Annexure 2)</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[date/time]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Validity of the e-way bill expired in transit — [vehicle breakdown / traffic blockage / driver’s illness / festival closure — reason beyond the Appellant’s control]</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Transporter’s letter / repair bills / toll and FASTag data (Annexure 3)</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Vehicle intercepted at [place]; physical verification — goods tallied with the invoice in full; detention in Form GST MOV-06 citing “E-Way Bill Tendered but Expired”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MOV-02 / MOV-04 / MOV-06 (Annexure 4)</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SCN in Form GST MOV-07 under Section 129(3): tax Rs. [____] and penalty Rs. [____] under Section 129(1)(a); Rs. 4,71,336 under Section 129(1)(b)</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MOV-07 (Annexure 5)</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Appellant’s reply: expiry beyond control; no discrepancy in goods, quantity, value or documents; no intent to evade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(Annexure 6)</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Order in Form GST MOV-09 confirming the demand; goods/conveyance released on [payment / bank guarantee]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MOV-09; DRC-03 / BG (Annexure 1, 7)</w:t>
            </w:r>
          </w:p>
        </w:tc>
      </w:tr>
    </w:tbl>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transaction is genuine and fully documented: the invoice, the e-way bill (generated in time and expired only in transit), the transporter’s records and the physical-verification report all match. The sole lapse is the expiry of the e-way bill for reasons beyond the Appellant’s control — a lapse of hours, with no attempt at diversion or re-use and no discrepancy of any kind.</w:t>
      </w:r>
    </w:p>
    <w:p>
      <w:pPr>
        <w:spacing w:after="80" w:before="240"/>
        <w:jc w:val="center"/>
      </w:pPr>
      <w:r>
        <w:rPr>
          <w:rFonts w:ascii="Times New Roman" w:cs="Times New Roman" w:eastAsia="Times New Roman" w:hAnsi="Times New Roman"/>
          <w:b/>
          <w:bCs/>
          <w:caps w:val="false"/>
          <w:sz w:val="26"/>
          <w:szCs w:val="26"/>
        </w:rPr>
        <w:t xml:space="preserve">ANNEXURE B — GROUNDS OF APPEAL</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 and without prejudice to the others.</w:t>
      </w:r>
    </w:p>
    <w:p>
      <w:pPr>
        <w:pStyle w:val="Heading2"/>
        <w:spacing w:after="140" w:before="200"/>
      </w:pPr>
      <w:r>
        <w:rPr>
          <w:rFonts w:ascii="Times New Roman" w:cs="Times New Roman" w:eastAsia="Times New Roman" w:hAnsi="Times New Roman"/>
          <w:b/>
          <w:bCs/>
          <w:sz w:val="24"/>
          <w:szCs w:val="24"/>
        </w:rPr>
        <w:t xml:space="preserve">Ground 1: No intent to evade — the Supreme Court’s ruling in Satyam Shivam Papers concludes the issue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129 is attracted by a contravention coupled with an intent to evade tax; a mere expiry of the e-way bill in transit, for reasons beyond the consignor’s control, is neither. In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SLP (C) No. 21132 of 2021, decided 12.01.2022, 2022 SCC OnLine SC 115 / (2022) 14 SCC 157, the Hon’ble Supreme Court affirmed the Telangana High Court (W.P. No. 9688 of 2020, 02.06.2021), held that no presumption of evasion arises from the expiry of an e-way bill where the delay was for reasons beyond control (there, a traffic blockage), deprecated the detention as a misuse of power, and imposed costs on the Department. The present facts are on all fours: the expiry occurred in transit for [reason], the goods tallied fully on physical verification, and no material of evasion exists. The Impugned Order, which proceeds on the bare fact of expiry, is contrary to the law declared and must fall.</w:t>
      </w:r>
    </w:p>
    <w:p>
      <w:pPr>
        <w:pStyle w:val="Heading2"/>
        <w:spacing w:after="140" w:before="200"/>
      </w:pPr>
      <w:r>
        <w:rPr>
          <w:rFonts w:ascii="Times New Roman" w:cs="Times New Roman" w:eastAsia="Times New Roman" w:hAnsi="Times New Roman"/>
          <w:b/>
          <w:bCs/>
          <w:sz w:val="24"/>
          <w:szCs w:val="24"/>
        </w:rPr>
        <w:t xml:space="preserve">Ground 2: A technical lapse without discrepancy cannot attract the Section 129 penalty — VSL Alloys; Circular 64/38/2018</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High Courts have consistently set aside detentions for technical e-way bill lapses where the documents and goods are otherwise in order and no intent to evade appears — </w:t>
      </w:r>
      <w:r>
        <w:rPr>
          <w:rFonts w:ascii="Times New Roman" w:cs="Times New Roman" w:eastAsia="Times New Roman" w:hAnsi="Times New Roman"/>
          <w:b w:val="false"/>
          <w:bCs w:val="false"/>
          <w:i/>
          <w:iCs/>
          <w:caps w:val="false"/>
          <w:sz w:val="24"/>
          <w:szCs w:val="24"/>
        </w:rPr>
        <w:t xml:space="preserve">VSL Alloys (India) Pvt. Ltd. v. State of U.P.</w:t>
      </w:r>
      <w:r>
        <w:rPr>
          <w:rFonts w:ascii="Times New Roman" w:cs="Times New Roman" w:eastAsia="Times New Roman" w:hAnsi="Times New Roman"/>
          <w:b w:val="false"/>
          <w:bCs w:val="false"/>
          <w:i w:val="false"/>
          <w:iCs w:val="false"/>
          <w:caps w:val="false"/>
          <w:sz w:val="24"/>
          <w:szCs w:val="24"/>
        </w:rPr>
        <w:t xml:space="preserve">, Allahabad HC, Writ Tax No. 637 of 2018, 13.04.2018, 2018 (5) TMI 455. The Board’s own Circular No. 64/38/2018-GST dated 14.09.2018 prescribes, for minor e-way bill defects, a token penalty of Rs. 500 under each Act in lieu of proceedings under Section 129 — a policy whose logic (proportionality between lapse and consequence) applies a fortiori to an expiry caused by events beyond control. [The circular’s enumerated list is invoked by analogy; the governing ratio is Satyam Shivam Papers. VERIFY]</w:t>
      </w:r>
    </w:p>
    <w:p>
      <w:pPr>
        <w:pStyle w:val="Heading2"/>
        <w:spacing w:after="140" w:before="200"/>
      </w:pPr>
      <w:r>
        <w:rPr>
          <w:rFonts w:ascii="Times New Roman" w:cs="Times New Roman" w:eastAsia="Times New Roman" w:hAnsi="Times New Roman"/>
          <w:b/>
          <w:bCs/>
          <w:sz w:val="24"/>
          <w:szCs w:val="24"/>
        </w:rPr>
        <w:t xml:space="preserve">Ground 3: The twin computation under Section 129(1)(a) and (b) is unsustainable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Order computes liability both under clause (a) and clause (b) of Section 129(1) — Rs. [____] and Rs. 4,71,336 respectively. The clauses are alternatives addressed to different situations (the owner coming forward, and otherwise); they cannot be cumulated against the same consignment. Further, the goods being fully tax-paid and accounted in the Appellant’s returns, the premise of any tax demand fails [for detentions on or after 01.01.2022, no tax is leviable under Section 129 at all — penalty alone, per the amended provision]. The computation discloses non-application of mind and vitiates the order.</w:t>
      </w:r>
    </w:p>
    <w:p>
      <w:pPr>
        <w:pStyle w:val="Heading2"/>
        <w:spacing w:after="140" w:before="200"/>
      </w:pPr>
      <w:r>
        <w:rPr>
          <w:rFonts w:ascii="Times New Roman" w:cs="Times New Roman" w:eastAsia="Times New Roman" w:hAnsi="Times New Roman"/>
          <w:b/>
          <w:bCs/>
          <w:sz w:val="24"/>
          <w:szCs w:val="24"/>
        </w:rPr>
        <w:t xml:space="preserve">Ground 4: Proportionality and the absence of revenue loss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tax on the consignment stands [paid / fully accounted in GSTR-1 and GSTR-3B for the period — Annexure 8]. The exchequer has lost nothing. To visit a documented, tax-paid movement with a penalty of this magnitude for an hours-long expiry beyond control is disproportionate and contrary to the settled principle that penalty consequences must answer to the gravity of the default (</w:t>
      </w:r>
      <w:r>
        <w:rPr>
          <w:rFonts w:ascii="Times New Roman" w:cs="Times New Roman" w:eastAsia="Times New Roman" w:hAnsi="Times New Roman"/>
          <w:b w:val="false"/>
          <w:bCs w:val="false"/>
          <w:i/>
          <w:iCs/>
          <w:caps w:val="false"/>
          <w:sz w:val="24"/>
          <w:szCs w:val="24"/>
        </w:rPr>
        <w:t xml:space="preserve">Hindustan Steel v. State of Orissa</w:t>
      </w:r>
      <w:r>
        <w:rPr>
          <w:rFonts w:ascii="Times New Roman" w:cs="Times New Roman" w:eastAsia="Times New Roman" w:hAnsi="Times New Roman"/>
          <w:b w:val="false"/>
          <w:bCs w:val="false"/>
          <w:i w:val="false"/>
          <w:iCs w:val="false"/>
          <w:caps w:val="false"/>
          <w:sz w:val="24"/>
          <w:szCs w:val="24"/>
        </w:rPr>
        <w:t xml:space="preserve">, (1969) 2 SCC 627 [VERIFY] — penalty not to be imposed for technical or venial breaches).</w:t>
      </w:r>
    </w:p>
    <w:p>
      <w:pPr>
        <w:pStyle w:val="Heading2"/>
        <w:spacing w:after="140" w:before="200"/>
      </w:pPr>
      <w:r>
        <w:rPr>
          <w:rFonts w:ascii="Times New Roman" w:cs="Times New Roman" w:eastAsia="Times New Roman" w:hAnsi="Times New Roman"/>
          <w:b/>
          <w:bCs/>
          <w:sz w:val="24"/>
          <w:szCs w:val="24"/>
        </w:rPr>
        <w:t xml:space="preserve">Ground 5 (without prejudice): At most, a minor-breach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if any default is found, it is a minor breach within Section 126, attracting at most the token penalty of Circular 64/38/2018 or a general penalty under Section 125 — not the Section 129 consequence.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Appellant most respectfully prays that the Learned Appellate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SET ASIDE the Impugned Order in Form GST MOV-09, Reference No. [____] dated [____];</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expiry of the e-way bill in transit, for reasons beyond the Appellant’s control and without any intent to evade, does not attract Section 129, per Satyam Shivam Papers;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DIRECT refund / release of the amounts paid and the bank guarantee furnished for release of the goods and conveyance, with interest;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the alternative, RESTRICT any penalty to the token penalty for a minor breach (Section 125 / 126; Circular 64/38/2018);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and PASS such further or other order as may be just and proper.</w:t>
      </w:r>
    </w:p>
    <w:p>
      <w:pPr>
        <w:pStyle w:val="Heading1"/>
        <w:spacing w:after="160" w:before="260"/>
      </w:pPr>
      <w:r>
        <w:rPr>
          <w:rFonts w:ascii="Times New Roman" w:cs="Times New Roman" w:eastAsia="Times New Roman" w:hAnsi="Times New Roman"/>
          <w:b/>
          <w:bCs/>
          <w:caps/>
          <w:sz w:val="26"/>
          <w:szCs w:val="26"/>
        </w:rPr>
        <w:t xml:space="preserve">Schedule of Authorities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107 (including sub-sections (1), (4), (6) and its proviso), 125, 126 and 129 of the CGST / KGST Act, 2017 (Section 129 as amended by the Finance Act, 2021, brought into force w.e.f. 01.01.2022 by Notification No. 39/2021-Central Tax dated 21.12.2021, for detentions after that date); Rule 108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SLP(C) No. 21132 of 2021, 12.01.2022, 2022 SCC OnLine SC 115 / (2022) 14 SCC 157, affirming Telangana HC, W.P. No. 9688 of 2020, 02.06.2021.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VSL Alloys (India) Pvt. Ltd. v. State of U.P., Allahabad HC, Writ Tax No. 637 of 2018, 2018 (5) TMI 455 [confirm exact decision date — impugned order 18.04.2018]; Circular No. 64/38/2018-GST dated 14.09.2018; on the Section 129(1)(a) v. (b) owner-comes-forward distinction: Halder Enterprises v. State of U.P., Allahabad HC, [2024] 80 GSTL 357 / [2023] 157 taxmann.com 231, read with Circular No. 76/50/2018-GST dated 31.12.2018; Hindustan Steel v. State of Orissa, (1969) 2 SCC 627. [VERIFY Hindustan Steel]</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appeal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Impugned Order (MOV-09). Annexure 2 — Invoice and e-way bill. Annexure 3 — Evidence of the cause of expiry (transporter’s letter, repair bills, toll/FASTag data). Annexure 4 — MOV-02/04/06. Annexure 5 — MOV-07 SCN. Annexure 6 — Reply to SCN. Annexure 7 — Release payment / bank guarantee (DRC-03). Annexure 8 — GSTR-1 / GSTR-3B extracts for the period. Annexure 9 — Pre-deposit DRC-03; Board Resolution / authorisation.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2026-06-13T08:26:24.755Z</dcterms:created>
  <dcterms:modified xsi:type="dcterms:W3CDTF">2026-06-13T08:26:24.755Z</dcterms:modified>
</cp:coreProperties>
</file>

<file path=docProps/custom.xml><?xml version="1.0" encoding="utf-8"?>
<Properties xmlns="http://schemas.openxmlformats.org/officeDocument/2006/custom-properties" xmlns:vt="http://schemas.openxmlformats.org/officeDocument/2006/docPropsVTypes"/>
</file>