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under Section 67(5) of the CGST Act, 2017 for permission to take photocopies / extracts of the books of account and documents seized during the search of the Company’s premises — search / panchnama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Search and seizure (panchnama)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text of Section 67(5) is reproduced as relied upon in the source. The date of search (as recited)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During the search of the Company’s registered premises on [____], the office seized the Company’s books of account and documents under a panchnama of even date. Those records are required by the Company for the ordinary conduct of its business — payment to suppliers, filing of returns, accounting and banking. Section 67(5) of the Act entitles the person from whose custody documents are seized to take copies or extracts thereof. The Company accordingly requests permission, at a time and place to be indicated by the office, to take photocopies / extracts of the seized records in the presence of an authorised officer.</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located at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search and seizure. </w:t>
      </w:r>
      <w:r>
        <w:rPr>
          <w:rFonts w:ascii="Times New Roman" w:cs="Times New Roman" w:eastAsia="Times New Roman" w:hAnsi="Times New Roman"/>
          <w:b w:val="false"/>
          <w:bCs w:val="false"/>
          <w:i w:val="false"/>
          <w:iCs w:val="false"/>
          <w:caps w:val="false"/>
          <w:sz w:val="24"/>
          <w:szCs w:val="24"/>
        </w:rPr>
        <w:t xml:space="preserve">On [____] the office searched the Company’s registered premises and seized its books of account and documents under a panchnama dated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need. </w:t>
      </w:r>
      <w:r>
        <w:rPr>
          <w:rFonts w:ascii="Times New Roman" w:cs="Times New Roman" w:eastAsia="Times New Roman" w:hAnsi="Times New Roman"/>
          <w:b w:val="false"/>
          <w:bCs w:val="false"/>
          <w:i w:val="false"/>
          <w:iCs w:val="false"/>
          <w:caps w:val="false"/>
          <w:sz w:val="24"/>
          <w:szCs w:val="24"/>
        </w:rPr>
        <w:t xml:space="preserve">The seized records are required by the Company for the day-to-day conduct of its business, including payment to suppliers, the filing of returns, accounting and banking.</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Section 67(5) confers a statutory entitlement to copies / extracts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67(5) of the Act provides:</w:t>
      </w:r>
    </w:p>
    <w:p>
      <w:pPr>
        <w:spacing w:after="140" w:line="264"/>
        <w:ind w:left="720" w:right="360"/>
        <w:jc w:val="both"/>
      </w:pPr>
      <w:r>
        <w:rPr>
          <w:rFonts w:ascii="Times New Roman" w:cs="Times New Roman" w:eastAsia="Times New Roman" w:hAnsi="Times New Roman"/>
          <w:i/>
          <w:iCs/>
          <w:sz w:val="22"/>
          <w:szCs w:val="22"/>
        </w:rPr>
        <w:t xml:space="preserve">Section 67(5): The person from whose custody any documents are seized under sub-section (2) shall be entitled to make copies thereof or take extracts therefrom in the presence of an authorised officer at such place and time as such officer may indicate in this behalf except where making such copies or taking such extracts may, in the opinion of the proper officer, prejudicially affect the investigation.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entitlement is the rule; the exception (where copying would prejudicially affect the investigation) is to be invoked, if at all, by a reasoned opinion of the proper officer. The Company is not aware of any such impediment, the records being its routine books required for ongoing compliance.</w:t>
      </w:r>
    </w:p>
    <w:p>
      <w:pPr>
        <w:pStyle w:val="Heading2"/>
        <w:spacing w:after="140" w:before="200"/>
      </w:pPr>
      <w:r>
        <w:rPr>
          <w:rFonts w:ascii="Times New Roman" w:cs="Times New Roman" w:eastAsia="Times New Roman" w:hAnsi="Times New Roman"/>
          <w:b/>
          <w:bCs/>
          <w:sz w:val="24"/>
          <w:szCs w:val="24"/>
        </w:rPr>
        <w:t xml:space="preserve">Submission 2: The records are needed for ongoing statutory compliance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access to its books, the Company cannot file its returns or discharge its continuing obligations under the Act, which would itself expose it to default. Permitting copies / extracts is consistent with both the letter of Section 67(5) and the object of enabling continued compliance during the pendency of the investigation.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requests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 under Section 67(5), to take photocopies / extracts of the seized books of account and documents, in the presence of an authorised officer, at a time and place to be indicated;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INDICATE the time and place for the said purpose at the earliest, having regard to the Company’s ongoing compliance obligations;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67(2) and Section 67(5) of the CGST Act, 2017; Section 59 (self-assessment) and Section 39 (returns) of the CGST Act, 2017.</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2026-06-13T08:26:20.755Z</dcterms:created>
  <dcterms:modified xsi:type="dcterms:W3CDTF">2026-06-13T08:26:20.755Z</dcterms:modified>
</cp:coreProperties>
</file>

<file path=docProps/custom.xml><?xml version="1.0" encoding="utf-8"?>
<Properties xmlns="http://schemas.openxmlformats.org/officeDocument/2006/custom-properties" xmlns:vt="http://schemas.openxmlformats.org/officeDocument/2006/docPropsVTypes"/>
</file>