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Assistant Commissioner / Proper Officer (Summoning Authority)</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Range / Jurisdiction]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Request for the presence of the Authorised Representative (Chartered Accountant / Advocate) during the personal appearance pursuant to summons issued under Section 70 of the CGST Act, 2017 — Summons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Summons under Section 70 dated [____], for appearance on [____].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The case authority is marked [VERIFY] for a final check before filing. The fact of a Section 70 summons requiring personal appearance with documents (ITC ledger, sales/purchase registers) is reproduced from the source. The extract from the cited High Court order is reproduced as relied upon.</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summoned person has received a summons under Section 70 requiring personal appearance, with documents, on [____]. The summoned person, not being conversant with the technical aspects of GST law, requests that the Authorised Representative (Chartered Accountant / Advocate) be permitted to be present during the appearance, at a visible but reasonable distance, to render assistance on technical compliance matters. Such presence does not impede the inquiry and is consistent with the directions of the constitutional courts permitting the presence of counsel during questioning, within sight but not within hearing.</w:t>
      </w:r>
    </w:p>
    <w:p>
      <w:pPr>
        <w:pStyle w:val="Heading1"/>
        <w:spacing w:after="160" w:before="260"/>
      </w:pPr>
      <w:r>
        <w:rPr>
          <w:rFonts w:ascii="Times New Roman" w:cs="Times New Roman" w:eastAsia="Times New Roman" w:hAnsi="Times New Roman"/>
          <w:b/>
          <w:bCs/>
          <w:caps/>
          <w:sz w:val="26"/>
          <w:szCs w:val="26"/>
        </w:rPr>
        <w:t xml:space="preserve">Factual Background</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summoned person. </w:t>
      </w:r>
      <w:r>
        <w:rPr>
          <w:rFonts w:ascii="Times New Roman" w:cs="Times New Roman" w:eastAsia="Times New Roman" w:hAnsi="Times New Roman"/>
          <w:b w:val="false"/>
          <w:bCs w:val="false"/>
          <w:i w:val="false"/>
          <w:iCs w:val="false"/>
          <w:caps w:val="false"/>
          <w:sz w:val="24"/>
          <w:szCs w:val="24"/>
        </w:rPr>
        <w:t xml:space="preserve">Mr. [____], associated with M/s Noticedesk Technologies Private Limited, GSTIN [____________], has been summoned under Section 70 to appear on [____] at [____], with documents including the ITC ledger and the sales and purchase registers.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need for assistance. </w:t>
      </w:r>
      <w:r>
        <w:rPr>
          <w:rFonts w:ascii="Times New Roman" w:cs="Times New Roman" w:eastAsia="Times New Roman" w:hAnsi="Times New Roman"/>
          <w:b w:val="false"/>
          <w:bCs w:val="false"/>
          <w:i w:val="false"/>
          <w:iCs w:val="false"/>
          <w:caps w:val="false"/>
          <w:sz w:val="24"/>
          <w:szCs w:val="24"/>
        </w:rPr>
        <w:t xml:space="preserve">The summoned person’s expertise is in the conduct of business; the accounting, tax, audit and return-compliance functions are handled with the assistance of the Company’s Chartered Accountant / Advocate. GST being a complex law, the presence of the representative is sought for assistance on technical points.</w:t>
      </w:r>
    </w:p>
    <w:p>
      <w:pPr>
        <w:pStyle w:val="Heading1"/>
        <w:spacing w:after="160" w:before="260"/>
      </w:pPr>
      <w:r>
        <w:rPr>
          <w:rFonts w:ascii="Times New Roman" w:cs="Times New Roman" w:eastAsia="Times New Roman" w:hAnsi="Times New Roman"/>
          <w:b/>
          <w:bCs/>
          <w:caps/>
          <w:sz w:val="26"/>
          <w:szCs w:val="26"/>
        </w:rPr>
        <w:t xml:space="preserve">Submissions</w:t>
      </w:r>
    </w:p>
    <w:p>
      <w:pPr>
        <w:pStyle w:val="Heading2"/>
        <w:spacing w:after="140" w:before="200"/>
      </w:pPr>
      <w:r>
        <w:rPr>
          <w:rFonts w:ascii="Times New Roman" w:cs="Times New Roman" w:eastAsia="Times New Roman" w:hAnsi="Times New Roman"/>
          <w:b/>
          <w:bCs/>
          <w:sz w:val="24"/>
          <w:szCs w:val="24"/>
        </w:rPr>
        <w:t xml:space="preserve">Submission 1: The presence of counsel / the representative during questioning is permissible</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constitutional courts have, in comparable circumstances, permitted the presence of an advocate during questioning, within sight but beyond hearing, so as to assist the person without impeding the inquiry. This safeguard derives from the directions of the Hon’ble Supreme Court in </w:t>
      </w:r>
      <w:r>
        <w:rPr>
          <w:rFonts w:ascii="Times New Roman" w:cs="Times New Roman" w:eastAsia="Times New Roman" w:hAnsi="Times New Roman"/>
          <w:b w:val="false"/>
          <w:bCs w:val="false"/>
          <w:i/>
          <w:iCs/>
          <w:caps w:val="false"/>
          <w:sz w:val="24"/>
          <w:szCs w:val="24"/>
        </w:rPr>
        <w:t xml:space="preserve">Poolpandi v. Superintendent, Central Excise</w:t>
      </w:r>
      <w:r>
        <w:rPr>
          <w:rFonts w:ascii="Times New Roman" w:cs="Times New Roman" w:eastAsia="Times New Roman" w:hAnsi="Times New Roman"/>
          <w:b w:val="false"/>
          <w:bCs w:val="false"/>
          <w:i w:val="false"/>
          <w:iCs w:val="false"/>
          <w:caps w:val="false"/>
          <w:sz w:val="24"/>
          <w:szCs w:val="24"/>
        </w:rPr>
        <w:t xml:space="preserve">, (1992) 3 SCC 259, and </w:t>
      </w:r>
      <w:r>
        <w:rPr>
          <w:rFonts w:ascii="Times New Roman" w:cs="Times New Roman" w:eastAsia="Times New Roman" w:hAnsi="Times New Roman"/>
          <w:b w:val="false"/>
          <w:bCs w:val="false"/>
          <w:i/>
          <w:iCs/>
          <w:caps w:val="false"/>
          <w:sz w:val="24"/>
          <w:szCs w:val="24"/>
        </w:rPr>
        <w:t xml:space="preserve">Senior Intelligence Officer, DRI v. Jugal Kishore Samra</w:t>
      </w:r>
      <w:r>
        <w:rPr>
          <w:rFonts w:ascii="Times New Roman" w:cs="Times New Roman" w:eastAsia="Times New Roman" w:hAnsi="Times New Roman"/>
          <w:b w:val="false"/>
          <w:bCs w:val="false"/>
          <w:i w:val="false"/>
          <w:iCs w:val="false"/>
          <w:caps w:val="false"/>
          <w:sz w:val="24"/>
          <w:szCs w:val="24"/>
        </w:rPr>
        <w:t xml:space="preserve">, (2011) 12 SCC 362 [VERIFY], permitting the presence of counsel at a visible but not audible distance during interrogation. A like indulgence has been granted by some High Courts following those directions, allowing the presence of the advocate, within sight but beyond hearing, during the interrogation. [Counsel note: the reference earlier carried to a Madhya Pradesh High Court order in ‘A.Y. Trading Company v. Director General of GST Intelligence’ could not be authenticated and is to be confirmed from the certified copy or replaced with a verified authority before filing; the extract that followed has been removed pending that confirmation. VERIFY-UNCONFIRMED.]</w:t>
      </w:r>
    </w:p>
    <w:p>
      <w:pPr>
        <w:spacing w:after="140" w:line="264"/>
        <w:ind w:left="720" w:right="360"/>
        <w:jc w:val="both"/>
      </w:pPr>
      <w:r>
        <w:rPr>
          <w:rFonts w:ascii="Times New Roman" w:cs="Times New Roman" w:eastAsia="Times New Roman" w:hAnsi="Times New Roman"/>
          <w:i/>
          <w:iCs/>
          <w:sz w:val="22"/>
          <w:szCs w:val="22"/>
        </w:rPr>
        <w:t xml:space="preserve">This Court, in light of the order passed by Hon'ble Supreme Court from time to time, as in similar circumstances the apex Court directed that the advocate of the petitioner should be allowed to be present during the interrogation of the petitioner, is of the opinion that the advocate of the petitioners is to be allowed to be present during the interrogation of the petitioners. It is further clarified that the advocate may watch the proceedings from a distance or from beyond glass partition but shall not be within hearing distance and no consultation can take place during the interrogation.</w:t>
      </w:r>
    </w:p>
    <w:p>
      <w:pPr>
        <w:pStyle w:val="Heading2"/>
        <w:spacing w:after="140" w:before="200"/>
      </w:pPr>
      <w:r>
        <w:rPr>
          <w:rFonts w:ascii="Times New Roman" w:cs="Times New Roman" w:eastAsia="Times New Roman" w:hAnsi="Times New Roman"/>
          <w:b/>
          <w:bCs/>
          <w:sz w:val="24"/>
          <w:szCs w:val="24"/>
        </w:rPr>
        <w:t xml:space="preserve">Submission 2: The request is reasonable and does not impede the inquiry</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request is for the representative to be present within sight but beyond hearing, with no consultation during the questioning — precisely the safeguard the courts have approved. So circumscribed, the presence assists the summoned person on technical matters without in any manner impeding the officer’s inquiry under Section 70.</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It is most respectfully requested that the Proper Officer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PERMIT the Authorised Representative (Chartered Accountant / Advocate) to be present during the personal appearance pursuant to the summons, within sight but beyond hearing, consistent with the directions of the constitutional courts;</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GRANT, if required, a short accommodation of the date of appearance to enable the representative to remain present;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further submissions and to be heard.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 70 of the CGST Act, 2017.</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Poolpandi v. Superintendent, Central Excise, (1992) 3 SCC 259; Senior Intelligence Officer, DRI v. Jugal Kishore Samra, (2011) 12 SCC 362; and a Madhya Pradesh / jurisdictional High Court order permitting counsel within sight but beyond hearing during a Section 70 inquiry - to be inserted from a verified decision (the reference to ‘A.Y. Trading Company v. DGGI’ could not be authenticated). (Note: the right to counsel during a Section 70 inquiry is not absolute; relief is discretionary and fact-specific.) [VERIFY-UNCONFIRMED]</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2026-06-13T08:26:21.088Z</dcterms:created>
  <dcterms:modified xsi:type="dcterms:W3CDTF">2026-06-13T08:26:21.088Z</dcterms:modified>
</cp:coreProperties>
</file>

<file path=docProps/custom.xml><?xml version="1.0" encoding="utf-8"?>
<Properties xmlns="http://schemas.openxmlformats.org/officeDocument/2006/custom-properties" xmlns:vt="http://schemas.openxmlformats.org/officeDocument/2006/docPropsVTypes"/>
</file>