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Proper Officer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Application for adjournment of time to file the reply to the Show Cause Notice in Form GST DRC-01, under Section 75(5) of the CGST Act, 2017 — DRC-01 Reference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in Form GST DRC-01, Reference No.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case authority is marked [VERIFY] for a final check before filing. The stated reason for the adjournment is to be selected and completed from the record.</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has received the Show Cause Notice in Form GST DRC-01 and requires a short adjournment to file a complete and considered reply, for the reason set out below. Section 75(5) of the CGST Act entitles a person, on sufficient cause shown, to an adjournment of the hearing (up to three times). The Company is in the process of compiling its reply and supporting documents and undertakes to file them by the extended date sought.</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notice. </w:t>
      </w:r>
      <w:r>
        <w:rPr>
          <w:rFonts w:ascii="Times New Roman" w:cs="Times New Roman" w:eastAsia="Times New Roman" w:hAnsi="Times New Roman"/>
          <w:b w:val="false"/>
          <w:bCs w:val="false"/>
          <w:i w:val="false"/>
          <w:iCs w:val="false"/>
          <w:caps w:val="false"/>
          <w:sz w:val="24"/>
          <w:szCs w:val="24"/>
        </w:rPr>
        <w:t xml:space="preserve">The Company received the Show Cause Notice in Form GST DRC-01 (Reference No. [____]) on [____], with the reply due by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reason for the adjournment. </w:t>
      </w:r>
      <w:r>
        <w:rPr>
          <w:rFonts w:ascii="Times New Roman" w:cs="Times New Roman" w:eastAsia="Times New Roman" w:hAnsi="Times New Roman"/>
          <w:b w:val="false"/>
          <w:bCs w:val="false"/>
          <w:i w:val="false"/>
          <w:iCs w:val="false"/>
          <w:caps w:val="false"/>
          <w:sz w:val="24"/>
          <w:szCs w:val="24"/>
        </w:rPr>
        <w:t xml:space="preserve">The Company is unable to file its reply by the due date for the following reason: [select / specify — e.g. the authorised representative is engaged in statutory audit; a bona fide medical / family exigency; the records relevant to the allegation are under compilation and verification]. The reason constitutes sufficient cause within the meaning of Section 75(5).</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Undertaking. </w:t>
      </w:r>
      <w:r>
        <w:rPr>
          <w:rFonts w:ascii="Times New Roman" w:cs="Times New Roman" w:eastAsia="Times New Roman" w:hAnsi="Times New Roman"/>
          <w:b w:val="false"/>
          <w:bCs w:val="false"/>
          <w:i w:val="false"/>
          <w:iCs w:val="false"/>
          <w:caps w:val="false"/>
          <w:sz w:val="24"/>
          <w:szCs w:val="24"/>
        </w:rPr>
        <w:t xml:space="preserve">The Company undertakes to file its detailed reply, with supporting documents, by [____].</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Section 75(5) entitles the Company to an adjournment on sufficient cause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75(5) provides:</w:t>
      </w:r>
    </w:p>
    <w:p>
      <w:pPr>
        <w:spacing w:after="140" w:line="264"/>
        <w:ind w:left="720" w:right="360"/>
        <w:jc w:val="both"/>
      </w:pPr>
      <w:r>
        <w:rPr>
          <w:rFonts w:ascii="Times New Roman" w:cs="Times New Roman" w:eastAsia="Times New Roman" w:hAnsi="Times New Roman"/>
          <w:i/>
          <w:iCs/>
          <w:sz w:val="22"/>
          <w:szCs w:val="22"/>
        </w:rPr>
        <w:t xml:space="preserve">(5) The proper officer shall, if sufficient cause is shown by the person chargeable with tax, grant time to the said person and adjourn the hearing for reasons to be recorded in writing: Provided that no such adjournment shall be granted for more than three times to a person during the proceedings.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This is the Company’s [first] request for time; sufficient cause is shown above. The grant of a short adjournment will enable the Company to file a complete reply and will cause no prejudice to the revenue, the demand (if any) being secured by the pendency of the proceeding.</w:t>
      </w:r>
    </w:p>
    <w:p>
      <w:pPr>
        <w:pStyle w:val="Heading2"/>
        <w:spacing w:after="140" w:before="200"/>
      </w:pPr>
      <w:r>
        <w:rPr>
          <w:rFonts w:ascii="Times New Roman" w:cs="Times New Roman" w:eastAsia="Times New Roman" w:hAnsi="Times New Roman"/>
          <w:b/>
          <w:bCs/>
          <w:sz w:val="24"/>
          <w:szCs w:val="24"/>
        </w:rPr>
        <w:t xml:space="preserve">Submission 2: A fair opportunity to reply is a facet of natural justice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opportunity to file a considered reply, and to be heard, is a facet of natural justice and is reinforced by Section 75(4). Refusing a reasonable adjournment and proceeding ex parte would vitiate the resulting order. The principle is well settled and supported by the consistent High Court line that an order passed without a fair opportunity / a reasonable adjournment is liable to be set aside. [Counsel note: the reference earlier carried to ‘M/s Mittal Plywood and Furniture v. State of U.P., Writ Tax No. 906 of 2022’ could not be authenticated and is to be confirmed from the certified copy or replaced with a verified Allahabad / jurisdictional authority before filing. VERIFY-UNCONFIRMED.]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It is most respectfully prayed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an adjournment of [____] days for filing the reply to the Show Cause Notice, the Company undertaking to file its detailed reply with supporting documents by [____];</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FIX a date of personal hearing thereafter;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75(4) and 75(5) of the CGST Act,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High Court authority on the grant of a fair opportunity / adjournment before ex parte adjudication (Section 75(4)) - to be inserted from a verified decision (the reference to ‘Mittal Plywood and Furniture, Writ Tax 906/2022’ could not be authenticated). [VERIFY-UNCONFIRMED]</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2026-06-13T08:26:21.370Z</dcterms:created>
  <dcterms:modified xsi:type="dcterms:W3CDTF">2026-06-13T08:26:21.370Z</dcterms:modified>
</cp:coreProperties>
</file>

<file path=docProps/custom.xml><?xml version="1.0" encoding="utf-8"?>
<Properties xmlns="http://schemas.openxmlformats.org/officeDocument/2006/custom-properties" xmlns:vt="http://schemas.openxmlformats.org/officeDocument/2006/docPropsVTypes"/>
</file>