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Objection to the provisional attachment of the Company’s Cash Credit / Overdraft account in Form GST DRC-22 under Section 83 of the CGST Act, 2017, and request to withdraw the attachment — DRC-22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Provisional attachment in Form GST DRC-22 dated [____]; underlying Order / proceeding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fact that the attached account is a Cash Credit / Overdraft account, and the text of Section 83 and Rule 159,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By Form GST DRC-22 the Department has provisionally attached the Company’s bank account held with [Bank] under Section 83. The attached account is a </w:t>
      </w:r>
      <w:r>
        <w:rPr>
          <w:rFonts w:ascii="Times New Roman" w:cs="Times New Roman" w:eastAsia="Times New Roman" w:hAnsi="Times New Roman"/>
          <w:b/>
          <w:bCs/>
          <w:i w:val="false"/>
          <w:iCs w:val="false"/>
          <w:caps w:val="false"/>
          <w:sz w:val="24"/>
          <w:szCs w:val="24"/>
        </w:rPr>
        <w:t xml:space="preserve">Cash Credit / Overdraft account</w:t>
      </w:r>
      <w:r>
        <w:rPr>
          <w:rFonts w:ascii="Times New Roman" w:cs="Times New Roman" w:eastAsia="Times New Roman" w:hAnsi="Times New Roman"/>
          <w:b w:val="false"/>
          <w:bCs w:val="false"/>
          <w:i w:val="false"/>
          <w:iCs w:val="false"/>
          <w:caps w:val="false"/>
          <w:sz w:val="24"/>
          <w:szCs w:val="24"/>
        </w:rPr>
        <w:t xml:space="preserve"> — a borrowing facility, not a deposit. A Cash Credit / Overdraft account holds no money belonging to the Company; it is a facility under which the bank lends to the Company against security. Such an account is therefore not ‘property belonging to the taxable person’ that is capable of being attached under Section 83; attaching it does not secure any asset of the Company, but only paralyses its working-capital facility. The attachment is also disproportionate and, in any event, ceases after one year. It ought to be withdrawn.</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attachment. </w:t>
      </w:r>
      <w:r>
        <w:rPr>
          <w:rFonts w:ascii="Times New Roman" w:cs="Times New Roman" w:eastAsia="Times New Roman" w:hAnsi="Times New Roman"/>
          <w:b w:val="false"/>
          <w:bCs w:val="false"/>
          <w:i w:val="false"/>
          <w:iCs w:val="false"/>
          <w:caps w:val="false"/>
          <w:sz w:val="24"/>
          <w:szCs w:val="24"/>
        </w:rPr>
        <w:t xml:space="preserve">By Form GST DRC-22 dated [____], the Department attached the Company’s account with [Bank], [Branch], referable to the order / proceeding No. [____] dated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Nature of the account. </w:t>
      </w:r>
      <w:r>
        <w:rPr>
          <w:rFonts w:ascii="Times New Roman" w:cs="Times New Roman" w:eastAsia="Times New Roman" w:hAnsi="Times New Roman"/>
          <w:b w:val="false"/>
          <w:bCs w:val="false"/>
          <w:i w:val="false"/>
          <w:iCs w:val="false"/>
          <w:caps w:val="false"/>
          <w:sz w:val="24"/>
          <w:szCs w:val="24"/>
        </w:rPr>
        <w:t xml:space="preserve">The attached account is a Cash Credit / Overdraft account — a credit facility sanctioned by the bank against security (stock / receivables / collateral), under which the Company draws borrowed funds. It is not a savings or current deposit holding the Company’s own money.</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A Cash Credit / Overdraft account is not ‘property belonging to the taxable person’ attachable under Section 83</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83 permits provisional attachment of ‘any property, including bank account, belonging to the taxable person’. A Cash Credit / Overdraft account does not hold any money belonging to the taxable person; it is a borrowing arrangement under which the bank advances its own funds to the customer against security. There being no debt owed by the bank to the Company (rather the converse), there is no ‘property belonging to the taxable person’ in the account to attach. Reliance is placed on the line of High Court authority holding that a Cash Credit / Overdraft account cannot be provisionally attached under Section 83, including </w:t>
      </w:r>
      <w:r>
        <w:rPr>
          <w:rFonts w:ascii="Times New Roman" w:cs="Times New Roman" w:eastAsia="Times New Roman" w:hAnsi="Times New Roman"/>
          <w:b w:val="false"/>
          <w:bCs w:val="false"/>
          <w:i/>
          <w:iCs/>
          <w:caps w:val="false"/>
          <w:sz w:val="24"/>
          <w:szCs w:val="24"/>
        </w:rPr>
        <w:t xml:space="preserve">Manish Scrap Traders v. Principal Commissioner</w:t>
      </w:r>
      <w:r>
        <w:rPr>
          <w:rFonts w:ascii="Times New Roman" w:cs="Times New Roman" w:eastAsia="Times New Roman" w:hAnsi="Times New Roman"/>
          <w:b w:val="false"/>
          <w:bCs w:val="false"/>
          <w:i w:val="false"/>
          <w:iCs w:val="false"/>
          <w:caps w:val="false"/>
          <w:sz w:val="24"/>
          <w:szCs w:val="24"/>
        </w:rPr>
        <w:t xml:space="preserve">, Gujarat HC [VERIFY], and the decisions following it. [VERIFY for jurisdictional High Court authority]</w:t>
      </w:r>
    </w:p>
    <w:p>
      <w:pPr>
        <w:pStyle w:val="Heading2"/>
        <w:spacing w:after="140" w:before="200"/>
      </w:pPr>
      <w:r>
        <w:rPr>
          <w:rFonts w:ascii="Times New Roman" w:cs="Times New Roman" w:eastAsia="Times New Roman" w:hAnsi="Times New Roman"/>
          <w:b/>
          <w:bCs/>
          <w:sz w:val="24"/>
          <w:szCs w:val="24"/>
        </w:rPr>
        <w:t xml:space="preserve">Submission 2: Provisional attachment is a draconian power, to be used sparingly and proportionately — Radha Krishan Industries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Provisional attachment under Section 83 is a drastic and far-reaching power that trenches upon property rights and must be exercised strictly within the bounds of the section. The Hon’ble Supreme Court, in </w:t>
      </w:r>
      <w:r>
        <w:rPr>
          <w:rFonts w:ascii="Times New Roman" w:cs="Times New Roman" w:eastAsia="Times New Roman" w:hAnsi="Times New Roman"/>
          <w:b w:val="false"/>
          <w:bCs w:val="false"/>
          <w:i/>
          <w:iCs/>
          <w:caps w:val="false"/>
          <w:sz w:val="24"/>
          <w:szCs w:val="24"/>
        </w:rPr>
        <w:t xml:space="preserve">Radha Krishan Industries v. State of Himachal Pradesh</w:t>
      </w:r>
      <w:r>
        <w:rPr>
          <w:rFonts w:ascii="Times New Roman" w:cs="Times New Roman" w:eastAsia="Times New Roman" w:hAnsi="Times New Roman"/>
          <w:b w:val="false"/>
          <w:bCs w:val="false"/>
          <w:i w:val="false"/>
          <w:iCs w:val="false"/>
          <w:caps w:val="false"/>
          <w:sz w:val="24"/>
          <w:szCs w:val="24"/>
        </w:rPr>
        <w:t xml:space="preserve">, (2021) 6 SCC 771 / 2021 SCC OnLine SC 334, Civil Appeal No. 1155 of 2021, decided 20.04.2021, held that the power is draconian and must be preceded by a tangible-material-based formation of opinion that attachment is necessary to protect the revenue, that the existence of a pending proceeding under the specified provisions is a condition precedent, and that the power must be exercised proportionately. Attaching a borrowing facility, which secures no asset of the Company but only cripples its operations, fails the test of proportionality.</w:t>
      </w:r>
    </w:p>
    <w:p>
      <w:pPr>
        <w:pStyle w:val="Heading2"/>
        <w:spacing w:after="140" w:before="200"/>
      </w:pPr>
      <w:r>
        <w:rPr>
          <w:rFonts w:ascii="Times New Roman" w:cs="Times New Roman" w:eastAsia="Times New Roman" w:hAnsi="Times New Roman"/>
          <w:b/>
          <w:bCs/>
          <w:sz w:val="24"/>
          <w:szCs w:val="24"/>
        </w:rPr>
        <w:t xml:space="preserve">Submission 3: Right to object under Rule 159(5); and the one-year ceiling</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Under Rule 159(5), the person whose property is attached may, within seven days, file an objection that the property was not liable to attachment, and is entitled to an opportunity of being heard. The Company files this objection accordingly. In any event, under Section 83(2) the provisional attachment ceases to have effect on the expiry of one year from the date of the order; to the extent that period has expired, the attachment must be lifted.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Commissioner /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WITHDRAW the provisional attachment of the Cash Credit / Overdraft account effected by Form GST DRC-22, such an account not being ‘property belonging to the taxable person’ attachable under Section 83;</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attachment is, in any event, disproportionate and contrary to the limits in Section 83 as explained in Radha Krishan Industries;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AFFORD the Company a hearing on this objection under Rule 159(5), and HOLD that the attachment ceases after one year under Section 83(2);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83 (including sub-section (2)) of the CGST Act, 2017; Rule 159 (including sub-rule (5)) of the CGST Rules, 2017 (Form GST DRC-22).</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Radha Krishan Industries v. State of Himachal Pradesh, Supreme Court, (2021) 6 SCC 771, Civil Appeal No. 1155 of 2021, 20.04.2021.</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Manish Scrap Traders v. Principal Commissioner, Gujarat HC (Cash Credit / Overdraft account not attachable under Section 83), and the line of authority following it — to be cited and reporter-verified.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2026-06-13T08:26:22.031Z</dcterms:created>
  <dcterms:modified xsi:type="dcterms:W3CDTF">2026-06-13T08:26:22.031Z</dcterms:modified>
</cp:coreProperties>
</file>

<file path=docProps/custom.xml><?xml version="1.0" encoding="utf-8"?>
<Properties xmlns="http://schemas.openxmlformats.org/officeDocument/2006/custom-properties" xmlns:vt="http://schemas.openxmlformats.org/officeDocument/2006/docPropsVTypes"/>
</file>