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Commissioner / Proper Officer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Objection and application under Rule 159(5) of the CGST Rules, 2017 for release of the provisional attachment of the Company’s bank account effected under Section 83 of the CGST Act, 2017 — DRC-22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Provisional attachment in Form GST DRC-22 dated [____]; underlying proceeding under Section [62 / 63 / 64 / 67 / 73 / 74] No. [____]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is marked [VERIFY] for a final check before filing. The text of Section 83 and Rule 159, and the fact of attachment pending a specified proceeding,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By Form GST DRC-22 the Department has provisionally attached the Company’s bank account No. [____] under Section 83, pending a proceeding under Section [____]. The Company applies, under Rule 159(5), for release of the attachment. The attachment does not satisfy the strict conditions of Section 83 as laid down by the Hon’ble Supreme Court: there is no tangible material on which a reasoned opinion that attachment is necessary to protect the revenue could rest; the attachment is disproportionate, freezing the Company’s operating account and imperilling its business and its ability to meet its tax obligations; and it is, in any event, subject to the one-year ceiling. The attachment ought to be lifted, on such conditions as may be just.</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[____], carries on its business through the attached account.</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attachment. </w:t>
      </w:r>
      <w:r>
        <w:rPr>
          <w:rFonts w:ascii="Times New Roman" w:cs="Times New Roman" w:eastAsia="Times New Roman" w:hAnsi="Times New Roman"/>
          <w:b w:val="false"/>
          <w:bCs w:val="false"/>
          <w:i w:val="false"/>
          <w:iCs w:val="false"/>
          <w:caps w:val="false"/>
          <w:sz w:val="24"/>
          <w:szCs w:val="24"/>
        </w:rPr>
        <w:t xml:space="preserve">By Form GST DRC-22 dated [____], the Department attached the Company’s bank account No. [____] with [Bank], referable to a proceeding under Section [62 / 63 / 64 / 67 / 73 / 74].</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impact. </w:t>
      </w:r>
      <w:r>
        <w:rPr>
          <w:rFonts w:ascii="Times New Roman" w:cs="Times New Roman" w:eastAsia="Times New Roman" w:hAnsi="Times New Roman"/>
          <w:b w:val="false"/>
          <w:bCs w:val="false"/>
          <w:i w:val="false"/>
          <w:iCs w:val="false"/>
          <w:caps w:val="false"/>
          <w:sz w:val="24"/>
          <w:szCs w:val="24"/>
        </w:rPr>
        <w:t xml:space="preserve">The attached account is the Company’s principal operating account; its freezing has halted payments to suppliers, employees and statutory dues, and threatens the Company’s ability to continue in business and to discharge its GST liabilities.</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The strict, cumulative conditions of Section 83 are not satisfied — Radha Krishan Industries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Provisional attachment under Section 83 is a draconian power. In </w:t>
      </w:r>
      <w:r>
        <w:rPr>
          <w:rFonts w:ascii="Times New Roman" w:cs="Times New Roman" w:eastAsia="Times New Roman" w:hAnsi="Times New Roman"/>
          <w:b w:val="false"/>
          <w:bCs w:val="false"/>
          <w:i/>
          <w:iCs/>
          <w:caps w:val="false"/>
          <w:sz w:val="24"/>
          <w:szCs w:val="24"/>
        </w:rPr>
        <w:t xml:space="preserve">Radha Krishan Industries v. State of Himachal Pradesh</w:t>
      </w:r>
      <w:r>
        <w:rPr>
          <w:rFonts w:ascii="Times New Roman" w:cs="Times New Roman" w:eastAsia="Times New Roman" w:hAnsi="Times New Roman"/>
          <w:b w:val="false"/>
          <w:bCs w:val="false"/>
          <w:i w:val="false"/>
          <w:iCs w:val="false"/>
          <w:caps w:val="false"/>
          <w:sz w:val="24"/>
          <w:szCs w:val="24"/>
        </w:rPr>
        <w:t xml:space="preserve">, (2021) 6 SCC 771 / 2021 SCC OnLine SC 334, Civil Appeal No. 1155 of 2021, decided 20.04.2021, the Hon’ble Supreme Court laid down that the power may be exercised only where (i) a proceeding under the specified provisions is pending; (ii) the Commissioner forms an opinion, on the basis of tangible material, that attachment is necessary to protect the revenue; and (iii) the attachment is proportionate, the formation of opinion and the necessity being justiciable. A mechanical or pre-emptive attachment, unsupported by recorded reasons and tangible material, is illegal. The present attachment discloses no such material or reasoned opinion and cannot stand.</w:t>
      </w:r>
    </w:p>
    <w:p>
      <w:pPr>
        <w:pStyle w:val="Heading2"/>
        <w:spacing w:after="140" w:before="200"/>
      </w:pPr>
      <w:r>
        <w:rPr>
          <w:rFonts w:ascii="Times New Roman" w:cs="Times New Roman" w:eastAsia="Times New Roman" w:hAnsi="Times New Roman"/>
          <w:b/>
          <w:bCs/>
          <w:sz w:val="24"/>
          <w:szCs w:val="24"/>
        </w:rPr>
        <w:t xml:space="preserve">Submission 2: The attachment is disproportionate and defeats the object of the Act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Freezing the Company’s principal operating account does not merely secure the revenue; it disables the Company from carrying on business and from paying its ongoing taxes, thereby defeating the very revenue it purports to protect. A proportionate course — for instance, securing the disputed amount by a lesser measure or accepting alternative security — would protect the revenue without destroying the business. The disproportionate attachment ought to be lifted.</w:t>
      </w:r>
    </w:p>
    <w:p>
      <w:pPr>
        <w:pStyle w:val="Heading2"/>
        <w:spacing w:after="140" w:before="200"/>
      </w:pPr>
      <w:r>
        <w:rPr>
          <w:rFonts w:ascii="Times New Roman" w:cs="Times New Roman" w:eastAsia="Times New Roman" w:hAnsi="Times New Roman"/>
          <w:b/>
          <w:bCs/>
          <w:sz w:val="24"/>
          <w:szCs w:val="24"/>
        </w:rPr>
        <w:t xml:space="preserve">Submission 3: Right to object and to be heard under Rule 159(5); the one-year ceiling</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Rule 159(5) entitles the person whose property is attached to file, within seven days, an objection that the property was not liable to attachment, and to be afforded an opportunity of being heard, whereupon the Commissioner may release the property by an order in Form GST DRC-23. The Company files this objection and seeks a hearing. In any event, under Section 83(2) the attachment ceases on the expiry of one year from the date of the order, and must then be released.</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Commissioner /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RELEASE the provisional attachment of the Company’s bank account effected by Form GST DRC-22, the conditions of Section 83 not being satisfied;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AFFORD the Company an opportunity of being heard on this objection under Rule 159(5), and pass an order of release in Form GST DRC-23;</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in any event, that the attachment is disproportionate and that it ceases after one year under Section 83(2);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83 (including sub-section (2)) of the CGST Act, 2017; Rule 159 (including sub-rule (5)) of the CGST Rules, 2017 (Forms GST DRC-22 and DRC-23).</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Radha Krishan Industries v. State of Himachal Pradesh, Supreme Court, (2021) 6 SCC 771 / 2021 SCC OnLine SC 334, CA 1155/2021, 20.04.2021.</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2026-06-13T08:26:22.054Z</dcterms:created>
  <dcterms:modified xsi:type="dcterms:W3CDTF">2026-06-13T08:26:22.054Z</dcterms:modified>
</cp:coreProperties>
</file>

<file path=docProps/custom.xml><?xml version="1.0" encoding="utf-8"?>
<Properties xmlns="http://schemas.openxmlformats.org/officeDocument/2006/custom-properties" xmlns:vt="http://schemas.openxmlformats.org/officeDocument/2006/docPropsVTypes"/>
</file>