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Request to unblock the Electronic Credit Ledger blocked under Rule 86A in a fake-invoice / non-existent-supplier matter, the Company being a bona fide recipient and having deposited the disputed amount through Form GST DRC-03 under protest — SCN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74 in Form GST DRC-01, No. [____] dated [____]; blocking under Rule 86A dated [____]; DRC-03 payment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circular and press release is marked [VERIFY] for a final check before filing. The allegations (supplier not found at its place of business, registration cancelled, alleged non-receipt of goods, FY 2018-19), the blocking under Rule 86A without prior notice, and the deposit through DRC-03,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 a fake-invoice / non-existent-supplier matter under Section 74, the Department has blocked the Company’s Electronic Credit Ledger under Rule 86A and the Company has deposited the disputed amount through Form GST DRC-03. The Company seeks unblocking of the ledger. The Company is a </w:t>
      </w:r>
      <w:r>
        <w:rPr>
          <w:rFonts w:ascii="Times New Roman" w:cs="Times New Roman" w:eastAsia="Times New Roman" w:hAnsi="Times New Roman"/>
          <w:b/>
          <w:bCs/>
          <w:i w:val="false"/>
          <w:iCs w:val="false"/>
          <w:caps w:val="false"/>
          <w:sz w:val="24"/>
          <w:szCs w:val="24"/>
        </w:rPr>
        <w:t xml:space="preserve">bona fide recipient</w:t>
      </w:r>
      <w:r>
        <w:rPr>
          <w:rFonts w:ascii="Times New Roman" w:cs="Times New Roman" w:eastAsia="Times New Roman" w:hAnsi="Times New Roman"/>
          <w:b w:val="false"/>
          <w:bCs w:val="false"/>
          <w:i w:val="false"/>
          <w:iCs w:val="false"/>
          <w:caps w:val="false"/>
          <w:sz w:val="24"/>
          <w:szCs w:val="24"/>
        </w:rPr>
        <w:t xml:space="preserve"> that holds valid tax invoices, received the goods, and paid its supplier including tax through banking channels. The blocking is unsustainable: it was ordered without the mandatory pre-decisional hearing and without the officer’s independent ‘reasons to believe’; it cannot exceed the available ledger balance or continue beyond one year; and the deposit through DRC-03, having been made under protest, is not an admission. With the disputed amount already secured by the DRC-03 deposit, there is no warrant to continue blocking the ledger.</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purchased goods from M/s [____] (the “Supplier”) during FY 2018-19 under valid tax invoices, received the goods, and paid the Supplier including tax through banking channels.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SCN. </w:t>
      </w:r>
      <w:r>
        <w:rPr>
          <w:rFonts w:ascii="Times New Roman" w:cs="Times New Roman" w:eastAsia="Times New Roman" w:hAnsi="Times New Roman"/>
          <w:b w:val="false"/>
          <w:bCs w:val="false"/>
          <w:i w:val="false"/>
          <w:iCs w:val="false"/>
          <w:caps w:val="false"/>
          <w:sz w:val="24"/>
          <w:szCs w:val="24"/>
        </w:rPr>
        <w:t xml:space="preserve">The Department issued a Show Cause Notice under Section 74 (DRC-01) on [____] alleging that the Supplier was not found at its registered place of business and that the transactions were not genuine, and proposing reversal of the credit with interest and penalty.</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blocking and the deposit. </w:t>
      </w:r>
      <w:r>
        <w:rPr>
          <w:rFonts w:ascii="Times New Roman" w:cs="Times New Roman" w:eastAsia="Times New Roman" w:hAnsi="Times New Roman"/>
          <w:b w:val="false"/>
          <w:bCs w:val="false"/>
          <w:i w:val="false"/>
          <w:iCs w:val="false"/>
          <w:caps w:val="false"/>
          <w:sz w:val="24"/>
          <w:szCs w:val="24"/>
        </w:rPr>
        <w:t xml:space="preserve">The Department blocked the Company’s Electronic Credit Ledger under Rule 86A in the disputed amount, without any prior notice or communication of reasons. The Company thereafter deposited the disputed amount of Rs. [____] through Form GST DRC-03 under protest, to avoid coercive action, without admitting liability.</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disputed amount stands secured by the DRC-03 deposit; continued blocking is unwarranted and amounts to double security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object of Rule 86A is to protect the revenue pending inquiry. That object is fully served once the disputed amount has been deposited through DRC-03. To continue blocking the ledger after the deposit is to secure the same amount twice, freezing working capital without any corresponding benefit to the revenue. The ledger ought to be unblocked forthwith.</w:t>
      </w:r>
    </w:p>
    <w:p>
      <w:pPr>
        <w:pStyle w:val="Heading2"/>
        <w:spacing w:after="140" w:before="200"/>
      </w:pPr>
      <w:r>
        <w:rPr>
          <w:rFonts w:ascii="Times New Roman" w:cs="Times New Roman" w:eastAsia="Times New Roman" w:hAnsi="Times New Roman"/>
          <w:b/>
          <w:bCs/>
          <w:sz w:val="24"/>
          <w:szCs w:val="24"/>
        </w:rPr>
        <w:t xml:space="preserve">Submission 2: The blocking is bad for want of a pre-decisional hearing and independent reasons — K-9 Enterprises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Blocking under Rule 86A carries serious civil consequences and is a ‘drastic’ power. Reliance is placed on </w:t>
      </w:r>
      <w:r>
        <w:rPr>
          <w:rFonts w:ascii="Times New Roman" w:cs="Times New Roman" w:eastAsia="Times New Roman" w:hAnsi="Times New Roman"/>
          <w:b w:val="false"/>
          <w:bCs w:val="false"/>
          <w:i/>
          <w:iCs/>
          <w:caps w:val="false"/>
          <w:sz w:val="24"/>
          <w:szCs w:val="24"/>
        </w:rPr>
        <w:t xml:space="preserve">K-9 Enterprises v. State of Karnataka</w:t>
      </w:r>
      <w:r>
        <w:rPr>
          <w:rFonts w:ascii="Times New Roman" w:cs="Times New Roman" w:eastAsia="Times New Roman" w:hAnsi="Times New Roman"/>
          <w:b w:val="false"/>
          <w:bCs w:val="false"/>
          <w:i w:val="false"/>
          <w:iCs w:val="false"/>
          <w:caps w:val="false"/>
          <w:sz w:val="24"/>
          <w:szCs w:val="24"/>
        </w:rPr>
        <w:t xml:space="preserve">, Karnataka HC (Division Bench), W.A. No. 100425 of 2023, dated 02.04.2024 [VERIFY], which held that a pre-decisional hearing is mandatory before blocking the Electronic Credit Ledger and that the officer must form ‘reasons to believe’ on his own independent enquiry, recording reasons in writing; the Revenue’s SLP against that judgment was dismissed by the Supreme Court on 16.05.2025 [VERIFY]. Here the ledger was blocked without any prior hearing and without communication of reasons; the blocking is therefore unsustainable. The blocking also cannot exceed the credit available in the ledger (no ‘negative blocking’: </w:t>
      </w:r>
      <w:r>
        <w:rPr>
          <w:rFonts w:ascii="Times New Roman" w:cs="Times New Roman" w:eastAsia="Times New Roman" w:hAnsi="Times New Roman"/>
          <w:b w:val="false"/>
          <w:bCs w:val="false"/>
          <w:i/>
          <w:iCs/>
          <w:caps w:val="false"/>
          <w:sz w:val="24"/>
          <w:szCs w:val="24"/>
        </w:rPr>
        <w:t xml:space="preserve">Best Crop Science Pvt. Ltd. v. Principal Commissioner, CGST</w:t>
      </w:r>
      <w:r>
        <w:rPr>
          <w:rFonts w:ascii="Times New Roman" w:cs="Times New Roman" w:eastAsia="Times New Roman" w:hAnsi="Times New Roman"/>
          <w:b w:val="false"/>
          <w:bCs w:val="false"/>
          <w:i w:val="false"/>
          <w:iCs w:val="false"/>
          <w:caps w:val="false"/>
          <w:sz w:val="24"/>
          <w:szCs w:val="24"/>
        </w:rPr>
        <w:t xml:space="preserve">, Delhi HC, W.P.(C) 10980 of 2024 (batch), dated 24.09.2024, affirmed by the Supreme Court on 17.05.2025 and 09.07.2025), and ceases in any event after one year under Rule 86A(3).</w:t>
      </w:r>
    </w:p>
    <w:p>
      <w:pPr>
        <w:pStyle w:val="Heading2"/>
        <w:spacing w:after="140" w:before="200"/>
      </w:pPr>
      <w:r>
        <w:rPr>
          <w:rFonts w:ascii="Times New Roman" w:cs="Times New Roman" w:eastAsia="Times New Roman" w:hAnsi="Times New Roman"/>
          <w:b/>
          <w:bCs/>
          <w:sz w:val="24"/>
          <w:szCs w:val="24"/>
        </w:rPr>
        <w:t xml:space="preserve">Submission 3: The Company is a bona fide recipient; the deposit under protest is not an admission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holds valid tax invoices, received the goods, and paid the Supplier including tax through banking channels; it is a bona fide recipient who cannot be denied credit for the Supplier’s alleged default, recovery (if any) lying first against the Supplier (</w:t>
      </w:r>
      <w:r>
        <w:rPr>
          <w:rFonts w:ascii="Times New Roman" w:cs="Times New Roman" w:eastAsia="Times New Roman" w:hAnsi="Times New Roman"/>
          <w:b w:val="false"/>
          <w:bCs w:val="false"/>
          <w:i/>
          <w:iCs/>
          <w:caps w:val="false"/>
          <w:sz w:val="24"/>
          <w:szCs w:val="24"/>
        </w:rPr>
        <w:t xml:space="preserve">Suncraft Energy Pvt. Ltd. v. Assistant Commissioner, State Tax</w:t>
      </w:r>
      <w:r>
        <w:rPr>
          <w:rFonts w:ascii="Times New Roman" w:cs="Times New Roman" w:eastAsia="Times New Roman" w:hAnsi="Times New Roman"/>
          <w:b w:val="false"/>
          <w:bCs w:val="false"/>
          <w:i w:val="false"/>
          <w:iCs w:val="false"/>
          <w:caps w:val="false"/>
          <w:sz w:val="24"/>
          <w:szCs w:val="24"/>
        </w:rPr>
        <w:t xml:space="preserve">, Calcutta HC, MAT 1218 of 2023, 02.08.2023 [VERIFY] (SLP dismissed 14.12.2023 on low quantum); </w:t>
      </w:r>
      <w:r>
        <w:rPr>
          <w:rFonts w:ascii="Times New Roman" w:cs="Times New Roman" w:eastAsia="Times New Roman" w:hAnsi="Times New Roman"/>
          <w:b w:val="false"/>
          <w:bCs w:val="false"/>
          <w:i/>
          <w:iCs/>
          <w:caps w:val="false"/>
          <w:sz w:val="24"/>
          <w:szCs w:val="24"/>
        </w:rPr>
        <w:t xml:space="preserve">D.Y. Beathel Enterprises v. State Tax Officer</w:t>
      </w:r>
      <w:r>
        <w:rPr>
          <w:rFonts w:ascii="Times New Roman" w:cs="Times New Roman" w:eastAsia="Times New Roman" w:hAnsi="Times New Roman"/>
          <w:b w:val="false"/>
          <w:bCs w:val="false"/>
          <w:i w:val="false"/>
          <w:iCs w:val="false"/>
          <w:caps w:val="false"/>
          <w:sz w:val="24"/>
          <w:szCs w:val="24"/>
        </w:rPr>
        <w:t xml:space="preserve">, Madras HC, W.P.(MD) Nos. 2127 of 2021, 24.02.2021 [VERIFY]; Press Release dated 04.05.2018 [VERIFY]). The allegation rests substantially on the Supplier’s untraceability and on third-party statements not furnished or tested by cross-examination, contrary to </w:t>
      </w:r>
      <w:r>
        <w:rPr>
          <w:rFonts w:ascii="Times New Roman" w:cs="Times New Roman" w:eastAsia="Times New Roman" w:hAnsi="Times New Roman"/>
          <w:b w:val="false"/>
          <w:bCs w:val="false"/>
          <w:i/>
          <w:iCs/>
          <w:caps w:val="false"/>
          <w:sz w:val="24"/>
          <w:szCs w:val="24"/>
        </w:rPr>
        <w:t xml:space="preserve">Andaman Timber Industries v. CCE</w:t>
      </w:r>
      <w:r>
        <w:rPr>
          <w:rFonts w:ascii="Times New Roman" w:cs="Times New Roman" w:eastAsia="Times New Roman" w:hAnsi="Times New Roman"/>
          <w:b w:val="false"/>
          <w:bCs w:val="false"/>
          <w:i w:val="false"/>
          <w:iCs w:val="false"/>
          <w:caps w:val="false"/>
          <w:sz w:val="24"/>
          <w:szCs w:val="24"/>
        </w:rPr>
        <w:t xml:space="preserve">, 2015 (324) ELT 641 (SC) [VERIFY]. The deposit through DRC-03 was made under protest and is not an admission of liability; it is available for adjustment or refund on the adjudication of the SCN.</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UNBLOCK the Electronic Credit Ledger of the Company forthwith, the disputed amount already standing deposited through Form GST DRC-03;</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RECORD that the deposit through Form GST DRC-03 was made under protest and is not an admission of liability, and is available for adjustment or refund on adjudication;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blocking under Rule 86A is unsustainable for want of a pre-decisional hearing and independent reasons, cannot exceed the available balance, and ceases after one year;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ADJUDICATE the Show Cause Notice on its merits after affording the Company a personal hearing and the relied-upon documents;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16(2), 74, 75(4), 155 of the CGST Act, 2017; Rule 86A (including sub-rule (3)) and Rule 142 of the CGST Rules, 2017 (Forms GST DRC-01, DRC-03).</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K-9 Enterprises v. State of Karnataka, Karnataka HC (DB), W.A. No. 100425 of 2023, 02.04.2024; SLP dismissed by SC on 16.05.2025.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Best Crop Science Pvt. Ltd. v. Principal Commissioner, CGST, Delhi HC, W.P.(C) 10980 of 2024 (batch), 24.09.2024 (negative-blocking bar; affirmed by SC dismissals in Kings Security Guard Services, 17.05.2025, 2025 (5) TMI 1519 (SC), and Karuna Rajendra Ringshia, 09.07.2025, 2025 (7) TMI 791 (SC)).</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Suncraft Energy Pvt. Ltd. v. Assistant Commissioner, State Tax, Calcutta HC, MAT 1218 of 2023, 02.08.2023 (SLP(C) 27827-27828/2023 dismissed 14.12.2023 expressly on low tax effect); D.Y. Beathel Enterprises v. State Tax Officer, Madras HC, W.P.(MD) Nos. 2127 of 2021, 24.02.2021; Press Release dated 04.05.2018.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Andaman Timber Industries v. CCE, Supreme Court, 2015 (324) ELT 641 (SC).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2026-06-13T08:26:22.379Z</dcterms:created>
  <dcterms:modified xsi:type="dcterms:W3CDTF">2026-06-13T08:26:22.379Z</dcterms:modified>
</cp:coreProperties>
</file>

<file path=docProps/custom.xml><?xml version="1.0" encoding="utf-8"?>
<Properties xmlns="http://schemas.openxmlformats.org/officeDocument/2006/custom-properties" xmlns:vt="http://schemas.openxmlformats.org/officeDocument/2006/docPropsVTypes"/>
</file>