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Objection under Rule 159(5) to the provisional attachment of the Company’s current account under Section 83, and request to lift the attachment subject to the Company maintaining a minimum balance pending adjudication — DRC-22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under Section 73 / 74 dated [____]; provisional attachment in Form GST DRC-22 dated [____]; current account No. [____] with [Bank].</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facts (an SCN under Section 73/74; the Company’s reply, with some details pending; and the attachment of the Company’s current account under Section 83)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During the pendency of a Show Cause Notice under Section 73/74, the Department has provisionally attached the Company’s current account under Section 83. The attachment freezes the Company’s principal operating account and threatens its very ability to carry on business and to meet its ongoing obligations, including its taxes. Provisional attachment is a measure of </w:t>
      </w:r>
      <w:r>
        <w:rPr>
          <w:rFonts w:ascii="Times New Roman" w:cs="Times New Roman" w:eastAsia="Times New Roman" w:hAnsi="Times New Roman"/>
          <w:b/>
          <w:bCs/>
          <w:i w:val="false"/>
          <w:iCs w:val="false"/>
          <w:caps w:val="false"/>
          <w:sz w:val="24"/>
          <w:szCs w:val="24"/>
        </w:rPr>
        <w:t xml:space="preserve">last resort</w:t>
      </w:r>
      <w:r>
        <w:rPr>
          <w:rFonts w:ascii="Times New Roman" w:cs="Times New Roman" w:eastAsia="Times New Roman" w:hAnsi="Times New Roman"/>
          <w:b w:val="false"/>
          <w:bCs w:val="false"/>
          <w:i w:val="false"/>
          <w:iCs w:val="false"/>
          <w:caps w:val="false"/>
          <w:sz w:val="24"/>
          <w:szCs w:val="24"/>
        </w:rPr>
        <w:t xml:space="preserve">, to be used sparingly and proportionately. The Company does not, by this objection, dispute the Department’s right to secure the revenue; it seeks a balanced arrangement under which the attachment is lifted subject to the Company maintaining a minimum balance in the account (equal to the balance as on the date of attachment, or such sum as may be just) until the adjudication of the Show Cause Notice. Such an arrangement protects the revenue while allowing the business to function.</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carries on its business through the attached current account with [Bank].</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SCN and the reply. </w:t>
      </w:r>
      <w:r>
        <w:rPr>
          <w:rFonts w:ascii="Times New Roman" w:cs="Times New Roman" w:eastAsia="Times New Roman" w:hAnsi="Times New Roman"/>
          <w:b w:val="false"/>
          <w:bCs w:val="false"/>
          <w:i w:val="false"/>
          <w:iCs w:val="false"/>
          <w:caps w:val="false"/>
          <w:sz w:val="24"/>
          <w:szCs w:val="24"/>
        </w:rPr>
        <w:t xml:space="preserve">The Department issued an SCN under Section 73/74 on [____] with an estimated liability of Rs. [____]; the Company filed its reply on [____], certain particulars being still under compilation.</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attachment and its impact. </w:t>
      </w:r>
      <w:r>
        <w:rPr>
          <w:rFonts w:ascii="Times New Roman" w:cs="Times New Roman" w:eastAsia="Times New Roman" w:hAnsi="Times New Roman"/>
          <w:b w:val="false"/>
          <w:bCs w:val="false"/>
          <w:i w:val="false"/>
          <w:iCs w:val="false"/>
          <w:caps w:val="false"/>
          <w:sz w:val="24"/>
          <w:szCs w:val="24"/>
        </w:rPr>
        <w:t xml:space="preserve">By Form GST DRC-22 dated [____], the Department attached the Company’s current account under Section 83. The freezing of this operating account has halted payments to suppliers, employees and statutory dues and threatens the continuance of the business.</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Provisional attachment is a measure of last resort, to be used sparingly and proportionately — Valerius Industries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power of provisional attachment is drastic and is to be exercised only as a last resort, with due regard to proportionality. Reliance is placed on </w:t>
      </w:r>
      <w:r>
        <w:rPr>
          <w:rFonts w:ascii="Times New Roman" w:cs="Times New Roman" w:eastAsia="Times New Roman" w:hAnsi="Times New Roman"/>
          <w:b w:val="false"/>
          <w:bCs w:val="false"/>
          <w:i/>
          <w:iCs/>
          <w:caps w:val="false"/>
          <w:sz w:val="24"/>
          <w:szCs w:val="24"/>
        </w:rPr>
        <w:t xml:space="preserve">Valerius Industries v. Union of India</w:t>
      </w:r>
      <w:r>
        <w:rPr>
          <w:rFonts w:ascii="Times New Roman" w:cs="Times New Roman" w:eastAsia="Times New Roman" w:hAnsi="Times New Roman"/>
          <w:b w:val="false"/>
          <w:bCs w:val="false"/>
          <w:i w:val="false"/>
          <w:iCs w:val="false"/>
          <w:caps w:val="false"/>
          <w:sz w:val="24"/>
          <w:szCs w:val="24"/>
        </w:rPr>
        <w:t xml:space="preserve">, Gujarat HC, R/Special Civil Application No. 13132 of 2019, dated 28.08.2019 [VERIFY], which laid down guidelines on Section 83 and held that the power should be exercised only as a last resort and not in a routine or mechanical manner, the attachment of a bank account having drastic consequences for the business. This is reinforced by </w:t>
      </w:r>
      <w:r>
        <w:rPr>
          <w:rFonts w:ascii="Times New Roman" w:cs="Times New Roman" w:eastAsia="Times New Roman" w:hAnsi="Times New Roman"/>
          <w:b w:val="false"/>
          <w:bCs w:val="false"/>
          <w:i/>
          <w:iCs/>
          <w:caps w:val="false"/>
          <w:sz w:val="24"/>
          <w:szCs w:val="24"/>
        </w:rPr>
        <w:t xml:space="preserve">Radha Krishan Industries v. State of Himachal Pradesh</w:t>
      </w:r>
      <w:r>
        <w:rPr>
          <w:rFonts w:ascii="Times New Roman" w:cs="Times New Roman" w:eastAsia="Times New Roman" w:hAnsi="Times New Roman"/>
          <w:b w:val="false"/>
          <w:bCs w:val="false"/>
          <w:i w:val="false"/>
          <w:iCs w:val="false"/>
          <w:caps w:val="false"/>
          <w:sz w:val="24"/>
          <w:szCs w:val="24"/>
        </w:rPr>
        <w:t xml:space="preserve">, (2021) 6 SCC 771 [VERIFY], on the draconian nature of the power and the requirement of proportionality.</w:t>
      </w:r>
    </w:p>
    <w:p>
      <w:pPr>
        <w:pStyle w:val="Heading2"/>
        <w:spacing w:after="140" w:before="200"/>
      </w:pPr>
      <w:r>
        <w:rPr>
          <w:rFonts w:ascii="Times New Roman" w:cs="Times New Roman" w:eastAsia="Times New Roman" w:hAnsi="Times New Roman"/>
          <w:b/>
          <w:bCs/>
          <w:sz w:val="24"/>
          <w:szCs w:val="24"/>
        </w:rPr>
        <w:t xml:space="preserve">Submission 2: A minimum-balance arrangement protects the revenue while permitting the business to function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Freezing the entire operating account is disproportionate where the revenue can be adequately protected by a less drastic measure. The Company proposes that the attachment be lifted subject to its maintaining a minimum balance in the account — equal to the balance as on the date of attachment, or such sum as the Proper Officer considers appropriate to secure the disputed amount — until the adjudication of the Show Cause Notice. Such an arrangement (of the kind courts have repeatedly approved) secures the revenue’s interest while allowing the Company to operate the account for its ongoing business and statutory payments.</w:t>
      </w:r>
    </w:p>
    <w:p>
      <w:pPr>
        <w:pStyle w:val="Heading2"/>
        <w:spacing w:after="140" w:before="200"/>
      </w:pPr>
      <w:r>
        <w:rPr>
          <w:rFonts w:ascii="Times New Roman" w:cs="Times New Roman" w:eastAsia="Times New Roman" w:hAnsi="Times New Roman"/>
          <w:b/>
          <w:bCs/>
          <w:sz w:val="24"/>
          <w:szCs w:val="24"/>
        </w:rPr>
        <w:t xml:space="preserve">Submission 3: Objection under Rule 159(5); the one-year ceiling</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files this objection under Rule 159(5) and seeks an opportunity of being heard, and an order modifying / lifting the attachment in Form GST DRC-23 on the minimum-balance terms proposed. In any event, under Section 83(2) the attachment ceases on the expiry of one year from the date of the order.</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Commissioner /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LIFT the provisional attachment of the Company’s current account effected by Form GST DRC-22, subject to the Company maintaining a minimum balance (equal to the balance as on the date of attachment, or such sum as may be just) until the adjudication of the Show Cause Notice;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provisional attachment is a measure of last resort to be exercised proportionately, and that a minimum-balance arrangement adequately protects the revenue;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AFFORD the Company a hearing under Rule 159(5) and pass an order in Form GST DRC-23 accordingly;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83 (including sub-section (2)) of the CGST Act, 2017; Rule 159 (including sub-rule (5)) of the CGST Rules, 2017 (Forms GST DRC-22 and DRC-23).</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Valerius Industries v. Union of India, Gujarat HC, R/Special Civil Application No. 13132 of 2019, dated 28.08.2019.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Radha Krishan Industries v. State of Himachal Pradesh, Supreme Court, (2021) 6 SCC 771 / 2021 SCC OnLine SC 334, CA 1155/2021, 20.04.2021.</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2026-06-13T08:26:22.782Z</dcterms:created>
  <dcterms:modified xsi:type="dcterms:W3CDTF">2026-06-13T08:26:22.782Z</dcterms:modified>
</cp:coreProperties>
</file>

<file path=docProps/custom.xml><?xml version="1.0" encoding="utf-8"?>
<Properties xmlns="http://schemas.openxmlformats.org/officeDocument/2006/custom-properties" xmlns:vt="http://schemas.openxmlformats.org/officeDocument/2006/docPropsVTypes"/>
</file>