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Request for a copy of the reasoned / detailed adjudication order, only a summary in Form GST DRC-07 having been served, to enable the Company to prefer an appeal under Section 107 — DRC-07 Reference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under Section 73 / 74 dated [____]; summary order in Form GST DRC-07, Reference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case authority is marked [VERIFY] for a final check before reliance. The facts (a reply and personal hearing on an SCN under Section 73/74, followed by service of only a summary order in Form GST DRC-07 without a reasoned order)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Following the Company’s reply and personal hearing on the Show Cause Notice under Section 73/74, the Department has served only a summary of the order in Form GST DRC-07, which records the demand of tax, interest and penalty but contains no reasons. The Company intends to prefer an appeal under Section 107 but cannot meaningfully frame its grounds without the reasoned order. Section 75(6) requires the adjudicating authority to pass a reasoned order setting out the relevant facts and the basis of the decision; the summary in DRC-07 is not a substitute for it. The Company requests that the reasoned / detailed adjudication order be supplied, and that the period for appeal be reckoned from the date of its supply.</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proceedings. </w:t>
      </w:r>
      <w:r>
        <w:rPr>
          <w:rFonts w:ascii="Times New Roman" w:cs="Times New Roman" w:eastAsia="Times New Roman" w:hAnsi="Times New Roman"/>
          <w:b w:val="false"/>
          <w:bCs w:val="false"/>
          <w:i w:val="false"/>
          <w:iCs w:val="false"/>
          <w:caps w:val="false"/>
          <w:sz w:val="24"/>
          <w:szCs w:val="24"/>
        </w:rPr>
        <w:t xml:space="preserve">On the Show Cause Notice under Section 73/74 dated [____], the Company filed its reply denying the allegations and was heard in person. Thereafter, the Department served a summary order in Form GST DRC-07 dated [____], raising a demand of tax of Rs. [____] with interest and penalty.</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grievance. </w:t>
      </w:r>
      <w:r>
        <w:rPr>
          <w:rFonts w:ascii="Times New Roman" w:cs="Times New Roman" w:eastAsia="Times New Roman" w:hAnsi="Times New Roman"/>
          <w:b w:val="false"/>
          <w:bCs w:val="false"/>
          <w:i w:val="false"/>
          <w:iCs w:val="false"/>
          <w:caps w:val="false"/>
          <w:sz w:val="24"/>
          <w:szCs w:val="24"/>
        </w:rPr>
        <w:t xml:space="preserve">The DRC-07 summary records only the figures of the demand; it contains no reasons, no discussion of the Company’s reply, and no findings. The Company is therefore unable to identify the basis of the decision in order to frame its grounds of appeal.</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Section 75(6) requires a reasoned order; the DRC-07 summary is not a substitute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75(6) of the Act provides that the order passed by the proper officer ‘shall set out the relevant facts and the basis of the decision’. The summary in Form GST DRC-07 is, by its nature, an electronic abstract of the demand uploaded on the portal; it is not the reasoned adjudication order the section contemplates. A reasoned order is a mandatory incident of a quasi-judicial determination, and the obligation cannot be discharged by issuing only the summary.</w:t>
      </w:r>
    </w:p>
    <w:p>
      <w:pPr>
        <w:pStyle w:val="Heading2"/>
        <w:spacing w:after="140" w:before="200"/>
      </w:pPr>
      <w:r>
        <w:rPr>
          <w:rFonts w:ascii="Times New Roman" w:cs="Times New Roman" w:eastAsia="Times New Roman" w:hAnsi="Times New Roman"/>
          <w:b/>
          <w:bCs/>
          <w:sz w:val="24"/>
          <w:szCs w:val="24"/>
        </w:rPr>
        <w:t xml:space="preserve">Submission 2: The absence of reasons disables the right of appeal and offends natural justice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Reasons are, in the settled phrase, the link between the material and the conclusion, and their recording is a facet of natural justice. Reliance is placed on </w:t>
      </w:r>
      <w:r>
        <w:rPr>
          <w:rFonts w:ascii="Times New Roman" w:cs="Times New Roman" w:eastAsia="Times New Roman" w:hAnsi="Times New Roman"/>
          <w:b w:val="false"/>
          <w:bCs w:val="false"/>
          <w:i/>
          <w:iCs/>
          <w:caps w:val="false"/>
          <w:sz w:val="24"/>
          <w:szCs w:val="24"/>
        </w:rPr>
        <w:t xml:space="preserve">Kranti Associates (P) Ltd. v. Masood Ahmed Khan</w:t>
      </w:r>
      <w:r>
        <w:rPr>
          <w:rFonts w:ascii="Times New Roman" w:cs="Times New Roman" w:eastAsia="Times New Roman" w:hAnsi="Times New Roman"/>
          <w:b w:val="false"/>
          <w:bCs w:val="false"/>
          <w:i w:val="false"/>
          <w:iCs w:val="false"/>
          <w:caps w:val="false"/>
          <w:sz w:val="24"/>
          <w:szCs w:val="24"/>
        </w:rPr>
        <w:t xml:space="preserve">, (2010) 9 SCC 496 [VERIFY], holding that a quasi-judicial authority must record reasons, which are the ‘heartbeat of every conclusion’ and indispensable to meaningful appellate or judicial review. Without the reasoned order, the Company cannot know why its reply was rejected and cannot frame its grounds of appeal; to compel it to appeal against an unreasoned summary would render the statutory remedy illusory.</w:t>
      </w:r>
    </w:p>
    <w:p>
      <w:pPr>
        <w:pStyle w:val="Heading2"/>
        <w:spacing w:after="140" w:before="200"/>
      </w:pPr>
      <w:r>
        <w:rPr>
          <w:rFonts w:ascii="Times New Roman" w:cs="Times New Roman" w:eastAsia="Times New Roman" w:hAnsi="Times New Roman"/>
          <w:b/>
          <w:bCs/>
          <w:sz w:val="24"/>
          <w:szCs w:val="24"/>
        </w:rPr>
        <w:t xml:space="preserve">Submission 3: The limitation for appeal should run from the supply of the reasoned order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Since the cause of action for a meaningful appeal arises only when the reasoned order is communicated, the period of limitation under Section 107 ought, in fairness, to be reckoned from the date on which the reasoned / detailed order is supplied to the Company. The Company reserves its rights in this behalf and seeks the reasoned order at the earliest.</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SUPPLY to the Company a copy of the reasoned / detailed adjudication order passed on the Show Cause Notice, as required by Section 75(6);</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CLARIFY that the period of limitation for an appeal under Section 107 shall be reckoned from the date of supply of the reasoned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75(6) and 107 of the CGST Act, 2017; Rule 142(5) of the CGST Rules, 2017 (Form GST DRC-07).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Kranti Associates (P) Ltd. v. Masood Ahmed Khan, Supreme Court, (2010) 9 SCC 496.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2026-06-13T08:26:22.906Z</dcterms:created>
  <dcterms:modified xsi:type="dcterms:W3CDTF">2026-06-13T08:26:22.908Z</dcterms:modified>
</cp:coreProperties>
</file>

<file path=docProps/custom.xml><?xml version="1.0" encoding="utf-8"?>
<Properties xmlns="http://schemas.openxmlformats.org/officeDocument/2006/custom-properties" xmlns:vt="http://schemas.openxmlformats.org/officeDocument/2006/docPropsVTypes"/>
</file>