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Commissioner / Assistant Commissioner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Request for communication of the reasons, grounds and material for the blocking of the Company’s Electronic Credit Ledger under Rule 86A — intimated only by e-mail and without any reasons — to enable the Company to file its objection; and, in the alternative, request to unblock — blocking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E-mail intimation of blocking under Rule 86A dated [____]; amount Rs.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is marked [VERIFY] for a final check before filing. The facts (an e-mail intimation of blocking under Rule 86A, without any details or reasons) and the text of Rule 86A reproduced in the source are carried forward.</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Company’s Electronic Credit Ledger has been blocked under Rule 86A, intimated only by an e-mail that states </w:t>
      </w:r>
      <w:r>
        <w:rPr>
          <w:rFonts w:ascii="Times New Roman" w:cs="Times New Roman" w:eastAsia="Times New Roman" w:hAnsi="Times New Roman"/>
          <w:b/>
          <w:bCs/>
          <w:i w:val="false"/>
          <w:iCs w:val="false"/>
          <w:caps w:val="false"/>
          <w:sz w:val="24"/>
          <w:szCs w:val="24"/>
        </w:rPr>
        <w:t xml:space="preserve">no reasons, no grounds and no material</w:t>
      </w:r>
      <w:r>
        <w:rPr>
          <w:rFonts w:ascii="Times New Roman" w:cs="Times New Roman" w:eastAsia="Times New Roman" w:hAnsi="Times New Roman"/>
          <w:b w:val="false"/>
          <w:bCs w:val="false"/>
          <w:i w:val="false"/>
          <w:iCs w:val="false"/>
          <w:caps w:val="false"/>
          <w:sz w:val="24"/>
          <w:szCs w:val="24"/>
        </w:rPr>
        <w:t xml:space="preserve">. Rule 86A is a drastic power exercisable only on the authorised officer’s ‘reasons to believe’, formed independently and recorded in writing, that the credit falls within the rule’s enumerated conditions; and the person affected is entitled to know those reasons in order to object. The Company requests the immediate communication of the recorded reasons and the material relied upon, and a post-decisional hearing on its objection; in the alternative — if no such reasons were recorded, or none within the rule’s conditions exist — the ledger must be unblocked forthwith.</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blocking. </w:t>
      </w:r>
      <w:r>
        <w:rPr>
          <w:rFonts w:ascii="Times New Roman" w:cs="Times New Roman" w:eastAsia="Times New Roman" w:hAnsi="Times New Roman"/>
          <w:b w:val="false"/>
          <w:bCs w:val="false"/>
          <w:i w:val="false"/>
          <w:iCs w:val="false"/>
          <w:caps w:val="false"/>
          <w:sz w:val="24"/>
          <w:szCs w:val="24"/>
        </w:rPr>
        <w:t xml:space="preserve">By e-mail dated [____], the Company was intimated that its Electronic Credit Ledger stands blocked under Rule 86A in the amount of Rs. [____]. The e-mail discloses no reasons, no grounds, no condition of Rule 86A(1) invoked, and no material. No notice under Section 73/74 has been issued.</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Recorded, independent reasons are a condition of the power; their communication is necessary for an effective objection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Rule 86A(1) permits blocking only where the Commissioner or authorised officer has ‘reasons to believe’ that the credit has been fraudulently availed or is ineligible in the specific ways enumerated — invoices of a non-existent supplier, supplies not received, tax not paid to the Government, or availment without the prescribed documents. The reasons must be the officer’s own, formed on tangible material and recorded in writing; and because the blocking inflicts serious civil consequences, the affected person must be told the reasons so it can object meaningfully. Reliance is placed on </w:t>
      </w:r>
      <w:r>
        <w:rPr>
          <w:rFonts w:ascii="Times New Roman" w:cs="Times New Roman" w:eastAsia="Times New Roman" w:hAnsi="Times New Roman"/>
          <w:b w:val="false"/>
          <w:bCs w:val="false"/>
          <w:i/>
          <w:iCs/>
          <w:caps w:val="false"/>
          <w:sz w:val="24"/>
          <w:szCs w:val="24"/>
        </w:rPr>
        <w:t xml:space="preserve">K-9 Enterprises v. State of Karnataka</w:t>
      </w:r>
      <w:r>
        <w:rPr>
          <w:rFonts w:ascii="Times New Roman" w:cs="Times New Roman" w:eastAsia="Times New Roman" w:hAnsi="Times New Roman"/>
          <w:b w:val="false"/>
          <w:bCs w:val="false"/>
          <w:i w:val="false"/>
          <w:iCs w:val="false"/>
          <w:caps w:val="false"/>
          <w:sz w:val="24"/>
          <w:szCs w:val="24"/>
        </w:rPr>
        <w:t xml:space="preserve">, Karnataka HC (DB), W.A. No. 100425 of 2023, 02.04.2024 (SLP dismissed by the Supreme Court on 16.05.2025, on merits and on the ground of delay, [2025] 174 taxmann.com 701) — independent, recorded reasons and a pre-decisional hearing are mandatory; and </w:t>
      </w:r>
      <w:r>
        <w:rPr>
          <w:rFonts w:ascii="Times New Roman" w:cs="Times New Roman" w:eastAsia="Times New Roman" w:hAnsi="Times New Roman"/>
          <w:b w:val="false"/>
          <w:bCs w:val="false"/>
          <w:i/>
          <w:iCs/>
          <w:caps w:val="false"/>
          <w:sz w:val="24"/>
          <w:szCs w:val="24"/>
        </w:rPr>
        <w:t xml:space="preserve">Dee Vee Projects Ltd. v. Government of Maharashtra</w:t>
      </w:r>
      <w:r>
        <w:rPr>
          <w:rFonts w:ascii="Times New Roman" w:cs="Times New Roman" w:eastAsia="Times New Roman" w:hAnsi="Times New Roman"/>
          <w:b w:val="false"/>
          <w:bCs w:val="false"/>
          <w:i w:val="false"/>
          <w:iCs w:val="false"/>
          <w:caps w:val="false"/>
          <w:sz w:val="24"/>
          <w:szCs w:val="24"/>
        </w:rPr>
        <w:t xml:space="preserve">, Bombay HC, 2022 SCC OnLine Bom 304 [VERIFY] — the order must be communicated with reasons, and a post-decisional opportunity afforded. An unreasoned e-mail satisfies none of this.</w:t>
      </w:r>
    </w:p>
    <w:p>
      <w:pPr>
        <w:pStyle w:val="Heading2"/>
        <w:spacing w:after="140" w:before="200"/>
      </w:pPr>
      <w:r>
        <w:rPr>
          <w:rFonts w:ascii="Times New Roman" w:cs="Times New Roman" w:eastAsia="Times New Roman" w:hAnsi="Times New Roman"/>
          <w:b/>
          <w:bCs/>
          <w:sz w:val="24"/>
          <w:szCs w:val="24"/>
        </w:rPr>
        <w:t xml:space="preserve">Submission 2: The blocking must be within the enumerated conditions, within the available balance, and within one year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power is confined to the enumerated fraud-type / ineligibility conditions of Rule 86A(1); it cannot exceed the credit available in the ledger (no ‘negative blocking’: </w:t>
      </w:r>
      <w:r>
        <w:rPr>
          <w:rFonts w:ascii="Times New Roman" w:cs="Times New Roman" w:eastAsia="Times New Roman" w:hAnsi="Times New Roman"/>
          <w:b w:val="false"/>
          <w:bCs w:val="false"/>
          <w:i/>
          <w:iCs/>
          <w:caps w:val="false"/>
          <w:sz w:val="24"/>
          <w:szCs w:val="24"/>
        </w:rPr>
        <w:t xml:space="preserve">Best Crop Science Pvt. Ltd. v. Principal Commissioner, CGST</w:t>
      </w:r>
      <w:r>
        <w:rPr>
          <w:rFonts w:ascii="Times New Roman" w:cs="Times New Roman" w:eastAsia="Times New Roman" w:hAnsi="Times New Roman"/>
          <w:b w:val="false"/>
          <w:bCs w:val="false"/>
          <w:i w:val="false"/>
          <w:iCs w:val="false"/>
          <w:caps w:val="false"/>
          <w:sz w:val="24"/>
          <w:szCs w:val="24"/>
        </w:rPr>
        <w:t xml:space="preserve">, Delhi HC, W.P.(C) 10980 of 2024 (batch), 24.09.2024, affirmed by the Supreme Court on 17.05.2025 and 09.07.2025; </w:t>
      </w:r>
      <w:r>
        <w:rPr>
          <w:rFonts w:ascii="Times New Roman" w:cs="Times New Roman" w:eastAsia="Times New Roman" w:hAnsi="Times New Roman"/>
          <w:b w:val="false"/>
          <w:bCs w:val="false"/>
          <w:i/>
          <w:iCs/>
          <w:caps w:val="false"/>
          <w:sz w:val="24"/>
          <w:szCs w:val="24"/>
        </w:rPr>
        <w:t xml:space="preserve">Samay Alloys India Pvt. Ltd. v. State of Gujarat</w:t>
      </w:r>
      <w:r>
        <w:rPr>
          <w:rFonts w:ascii="Times New Roman" w:cs="Times New Roman" w:eastAsia="Times New Roman" w:hAnsi="Times New Roman"/>
          <w:b w:val="false"/>
          <w:bCs w:val="false"/>
          <w:i w:val="false"/>
          <w:iCs w:val="false"/>
          <w:caps w:val="false"/>
          <w:sz w:val="24"/>
          <w:szCs w:val="24"/>
        </w:rPr>
        <w:t xml:space="preserve">, Gujarat HC, R/SCA 18059/2021, 03.02.2022, 2022 (2) TMI 843); and it ceases after one year under Rule 86A(3). The Company is entitled to know which condition is invoked and on what material, and to have the restriction confined accordingly.</w:t>
      </w:r>
    </w:p>
    <w:p>
      <w:pPr>
        <w:pStyle w:val="Heading2"/>
        <w:spacing w:after="140" w:before="200"/>
      </w:pPr>
      <w:r>
        <w:rPr>
          <w:rFonts w:ascii="Times New Roman" w:cs="Times New Roman" w:eastAsia="Times New Roman" w:hAnsi="Times New Roman"/>
          <w:b/>
          <w:bCs/>
          <w:sz w:val="24"/>
          <w:szCs w:val="24"/>
        </w:rPr>
        <w:t xml:space="preserve">Submission 3: Requests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accordingly requests: (i) a copy of the order / noting recording the reasons to believe, identifying the Rule 86A(1) condition invoked and the material relied upon; (ii) an opportunity of being heard on its objection thereafter; and (iii) in the alternative — if no reasons were recorded or none within the rule exist — the immediate unblocking of the ledger. The Company places on record that it holds the complete documentary trail for its credit and will produce it on the reasons being disclosed.</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Commissioner /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COMMUNICATE the recorded reasons, the Rule 86A(1) condition invoked, and the material relied upon for the blocking;</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AFFORD the Company an opportunity of being heard on its objection;</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In the alternative, UNBLOCK the Electronic Credit Ledger forthwith, no reasons having been communicated and no condition of Rule 86A(1) being shown;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Rule 86A (including sub-rules (1) and (3)) of the CGST Rules, 2017; Sections 73 and 74 of the CGST Act,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K-9 Enterprises v. State of Karnataka, Karnataka HC (DB), W.A. No. 100425 of 2023, 02.04.2024 (SLP dismissed on merits and for delay, 16.05.2025, [2025] 174 taxmann.com 701); Dee Vee Projects Ltd. v. Government of Maharashtra, Bombay HC, 2022 SCC OnLine Bom 304; Best Crop Science Pvt. Ltd., Delhi HC, W.P.(C) 10980 of 2024 (batch), 24.09.2024 (negative-blocking bar affirmed by the Supreme Court, 17.05.2025 and 09.07.2025); Samay Alloys India Pvt. Ltd., Gujarat HC, R/SCA 18059/2021, 03.02.2022, 2022 (2) TMI 843.</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2026-06-13T08:30:43.330Z</dcterms:created>
  <dcterms:modified xsi:type="dcterms:W3CDTF">2026-06-13T08:30:43.330Z</dcterms:modified>
</cp:coreProperties>
</file>

<file path=docProps/custom.xml><?xml version="1.0" encoding="utf-8"?>
<Properties xmlns="http://schemas.openxmlformats.org/officeDocument/2006/custom-properties" xmlns:vt="http://schemas.openxmlformats.org/officeDocument/2006/docPropsVTypes"/>
</file>