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Proper Officer (State Tax)</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summons under Section 70 seeking production of documents, the Central tax administration having already searched the Company’s premises and seized the very documents sought, and objection to parallel proceedings under Section 6(2)(b) of the Act — Summons Reference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Summons under Section 70 (State Tax), Reference No. [____] dated [____]; search by Central Tax officers dated [____] with seizure memo / panchnama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and instruction is marked [VERIFY] for a final check before filing. The facts (a search by the Central administration with seizure of the documents, followed by a State summons for the same documents) are reproduced from the source, as is the extract of Section 6(2). The source describes the search as under ‘Section 68’; this is recorded as stated, the search power being under Section 67 — confirm at review.</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has received a summons under Section 70 from the State tax administration requiring production of documents and details. The Central tax administration has, however, already searched the Company's premises and </w:t>
      </w:r>
      <w:r>
        <w:rPr>
          <w:rFonts w:ascii="Times New Roman" w:cs="Times New Roman" w:eastAsia="Times New Roman" w:hAnsi="Times New Roman"/>
          <w:b/>
          <w:bCs/>
          <w:i w:val="false"/>
          <w:iCs w:val="false"/>
          <w:caps w:val="false"/>
          <w:sz w:val="24"/>
          <w:szCs w:val="24"/>
        </w:rPr>
        <w:t xml:space="preserve">seized the very documents now summoned</w:t>
      </w:r>
      <w:r>
        <w:rPr>
          <w:rFonts w:ascii="Times New Roman" w:cs="Times New Roman" w:eastAsia="Times New Roman" w:hAnsi="Times New Roman"/>
          <w:b w:val="false"/>
          <w:bCs w:val="false"/>
          <w:i w:val="false"/>
          <w:iCs w:val="false"/>
          <w:caps w:val="false"/>
          <w:sz w:val="24"/>
          <w:szCs w:val="24"/>
        </w:rPr>
        <w:t xml:space="preserve">, under a panchnama / seizure memo. The Company's primary answer is one of simple impossibility: the documents are in the Central administration's custody, and the Company can at best furnish the copies it is entitled to under Section 67(5). Beyond that, the Company asks that it not be subjected to duplicate enforcement on a single subject matter: while the Hon'ble Supreme Court has now clarified that the mere issuance of a summons does not by itself amount to the initiation of ‘proceedings’ under Section 6(2)(b) (so the Company does not contend that the summons is, without more, barred), the first-initiator discipline still requires that any adjudication on this subject matter converge in the one administration that is already in the field. The summons ought, accordingly, to be answered by production of the Section 67(5) copies and coordinated inter-departmentally, not pursued as a parallel track.</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Central search and seizure. </w:t>
      </w:r>
      <w:r>
        <w:rPr>
          <w:rFonts w:ascii="Times New Roman" w:cs="Times New Roman" w:eastAsia="Times New Roman" w:hAnsi="Times New Roman"/>
          <w:b w:val="false"/>
          <w:bCs w:val="false"/>
          <w:i w:val="false"/>
          <w:iCs w:val="false"/>
          <w:caps w:val="false"/>
          <w:sz w:val="24"/>
          <w:szCs w:val="24"/>
        </w:rPr>
        <w:t xml:space="preserve">Officers of the Central tax administration searched the Company’s business premises on [____] [stated in the record as under Section 68; the power of search and seizure being under Section 67 — confirm], and seized the Company’s books, documents and records under the panchnama / seizure memo dated [____] (copy at Annexure 1). The seized records include the very documents and details now sought.</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State summons. </w:t>
      </w:r>
      <w:r>
        <w:rPr>
          <w:rFonts w:ascii="Times New Roman" w:cs="Times New Roman" w:eastAsia="Times New Roman" w:hAnsi="Times New Roman"/>
          <w:b w:val="false"/>
          <w:bCs w:val="false"/>
          <w:i w:val="false"/>
          <w:iCs w:val="false"/>
          <w:caps w:val="false"/>
          <w:sz w:val="24"/>
          <w:szCs w:val="24"/>
        </w:rPr>
        <w:t xml:space="preserve">Thereafter, the State tax administration issued the present summons under Section 70, Reference No. [____] dated [____], requiring production of [the documents listed], on the same subject matter.</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Compliance is impossible - the documents are in the Central administration’s seized custody (Section 67(5))</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documents the State summons requires are the very documents the Central administration has already taken into its custody under seizure. The Company cannot produce what it does not hold; the most it can do is exercise its right under Section 67(5) - which entitles the person from whose custody documents are seized to obtain copies or take extracts - and furnish those copies. It is willing to do so on a reasonable timeline. Equally, the State administration may obtain the records directly from the seizing authority inter-departmentally, which is the course both practicality and the avoidance of duplication commend. The Company's compliance, in substance, can only take this form, and it should not be treated as a default for failing to produce originals that are lawfully in another administration's hands.</w:t>
      </w:r>
    </w:p>
    <w:p>
      <w:pPr>
        <w:pStyle w:val="Heading2"/>
        <w:spacing w:after="140" w:before="200"/>
      </w:pPr>
      <w:r>
        <w:rPr>
          <w:rFonts w:ascii="Times New Roman" w:cs="Times New Roman" w:eastAsia="Times New Roman" w:hAnsi="Times New Roman"/>
          <w:b/>
          <w:bCs/>
          <w:sz w:val="24"/>
          <w:szCs w:val="24"/>
        </w:rPr>
        <w:t xml:space="preserve">Submission 2: A single subject matter should not face duplicate adjudication - Section 6(2)(b) as now clarified, and the first-initiator principle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scope of Section 6(2)(b) has now been settled by the Hon'ble Supreme Court in </w:t>
      </w:r>
      <w:r>
        <w:rPr>
          <w:rFonts w:ascii="Times New Roman" w:cs="Times New Roman" w:eastAsia="Times New Roman" w:hAnsi="Times New Roman"/>
          <w:b w:val="false"/>
          <w:bCs w:val="false"/>
          <w:i/>
          <w:iCs/>
          <w:caps w:val="false"/>
          <w:sz w:val="24"/>
          <w:szCs w:val="24"/>
        </w:rPr>
        <w:t xml:space="preserve">Armour Security (India) Ltd. v. Commissioner, CGST, Delhi East</w:t>
      </w:r>
      <w:r>
        <w:rPr>
          <w:rFonts w:ascii="Times New Roman" w:cs="Times New Roman" w:eastAsia="Times New Roman" w:hAnsi="Times New Roman"/>
          <w:b w:val="false"/>
          <w:bCs w:val="false"/>
          <w:i w:val="false"/>
          <w:iCs w:val="false"/>
          <w:caps w:val="false"/>
          <w:sz w:val="24"/>
          <w:szCs w:val="24"/>
        </w:rPr>
        <w:t xml:space="preserve">, 2025 INSC 982 / 2025 (8) TMI 991 (SC), SLP(C) No. 6092 of 2025, decided 14.08.2025, which held that the mere issuance of a summons does not amount to the initiation of ‘proceedings’ under Section 6(2)(b), that the subject matter crystallises upon issuance of the show cause notice, and that the bar operates against parallel formal adjudication on the same subject matter (identity of facts, liability and relief). The Company does not therefore contend that the State's summons is, by itself, barred. Its point is the narrower and surviving one: should any adjudication follow, it must not be duplicated across two administrations. That convergence discipline was applied in </w:t>
      </w:r>
      <w:r>
        <w:rPr>
          <w:rFonts w:ascii="Times New Roman" w:cs="Times New Roman" w:eastAsia="Times New Roman" w:hAnsi="Times New Roman"/>
          <w:b w:val="false"/>
          <w:bCs w:val="false"/>
          <w:i/>
          <w:iCs/>
          <w:caps w:val="false"/>
          <w:sz w:val="24"/>
          <w:szCs w:val="24"/>
        </w:rPr>
        <w:t xml:space="preserve">Vivek Narsaria v. State of Jharkhand</w:t>
      </w:r>
      <w:r>
        <w:rPr>
          <w:rFonts w:ascii="Times New Roman" w:cs="Times New Roman" w:eastAsia="Times New Roman" w:hAnsi="Times New Roman"/>
          <w:b w:val="false"/>
          <w:bCs w:val="false"/>
          <w:i w:val="false"/>
          <w:iCs w:val="false"/>
          <w:caps w:val="false"/>
          <w:sz w:val="24"/>
          <w:szCs w:val="24"/>
        </w:rPr>
        <w:t xml:space="preserve">, Jharkhand HC, W.P.(T) No. 4491 of 2023, decided 15.01.2024, where, with the State authority, the Central Preventive wing and the DGGI all in the field, the Court directed the later entrants to converge their material in the authority that had first taken up the matter - read with the Board's clarification (D.O. F. No. CBEC-20/43/01/2017-GST (Pt.) dated 05.10.2018) that the authority which initiates enforcement action is to complete it, and consistently with the consolidation of parallel investigations approved in </w:t>
      </w:r>
      <w:r>
        <w:rPr>
          <w:rFonts w:ascii="Times New Roman" w:cs="Times New Roman" w:eastAsia="Times New Roman" w:hAnsi="Times New Roman"/>
          <w:b w:val="false"/>
          <w:bCs w:val="false"/>
          <w:i/>
          <w:iCs/>
          <w:caps w:val="false"/>
          <w:sz w:val="24"/>
          <w:szCs w:val="24"/>
        </w:rPr>
        <w:t xml:space="preserve">Indo International Tobacco Ltd. v. Vivek Prasad</w:t>
      </w:r>
      <w:r>
        <w:rPr>
          <w:rFonts w:ascii="Times New Roman" w:cs="Times New Roman" w:eastAsia="Times New Roman" w:hAnsi="Times New Roman"/>
          <w:b w:val="false"/>
          <w:bCs w:val="false"/>
          <w:i w:val="false"/>
          <w:iCs w:val="false"/>
          <w:caps w:val="false"/>
          <w:sz w:val="24"/>
          <w:szCs w:val="24"/>
        </w:rPr>
        <w:t xml:space="preserve">, Delhi HC, W.P.(C) 2420 of 2021, 11.01.2022. The Central administration having already searched and seized, any adjudication on this subject matter should proceed there, and the Company should not be put to parallel processes.</w:t>
      </w:r>
    </w:p>
    <w:p>
      <w:pPr>
        <w:pStyle w:val="Heading2"/>
        <w:spacing w:after="140" w:before="200"/>
      </w:pPr>
      <w:r>
        <w:rPr>
          <w:rFonts w:ascii="Times New Roman" w:cs="Times New Roman" w:eastAsia="Times New Roman" w:hAnsi="Times New Roman"/>
          <w:b/>
          <w:bCs/>
          <w:sz w:val="24"/>
          <w:szCs w:val="24"/>
        </w:rPr>
        <w:t xml:space="preserve">Submission 3: The Company will co-operate; any requirement should be coordinated inter-departmentally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reiterates its willingness to co-operate fully. It will obtain and furnish copies under Section 67(5) on a reasonable timeline, and submits that the most efficient course — and the one that avoids putting the Company to parallel processes — is for the State administration to obtain the records directly from the seizing authority inter-departmentally. The Company requests that any further requirement be channelled accordingly.</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the Company to comply by furnishing copies obtained under Section 67(5) from the seizing authority, in lieu of producing originals lawfully in the Central administration’s custody, and coordinate the requirement inter-departmentally;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COORDINATE any requirement of documents with the Central administration that holds them under seizure, or PERMIT the Company a reasonable time to obtain and furnish copies under Section 67(5);</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RECORD the Company’s co-operation and its objection to parallel proceedings;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6(2)(b), 67 (including sub-section (5)) and 70 of the CGST Act, 2017 and the corresponding State enactment.</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D.O. F. No. CBEC-20/43/01/2017-GST (Pt.) dated 05.10.2018 (the initiating authority to complete the enforcement action).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Armour Security (India) Ltd. v. Commissioner, CGST, Delhi East, Supreme Court, 2025 INSC 982 / 2025 (8) TMI 991 (SC), SLP(C) No. 6092 of 2025, 14.08.2025 (summons is not initiation of proceedings under Section 6(2)(b); subject matter crystallises on the show cause notice); Vivek Narsaria v. State of Jharkhand, Jharkhand HC, W.P.(T) No. 4491 of 2023, 15.01.2024 (first-initiator convergence); Indo International Tobacco Ltd. v. Vivek Prasad, Delhi HC, W.P.(C) 2420 of 2021, 11.01.2022 (consolidation of parallel investigations); D.O. F. No. CBEC-20/43/01/2017-GST (Pt.) dated 05.10.2018 (CBIC clarification on cross-empowerment / completion by the initiating authority).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2026-06-13T08:30:43.440Z</dcterms:created>
  <dcterms:modified xsi:type="dcterms:W3CDTF">2026-06-13T08:30:43.440Z</dcterms:modified>
</cp:coreProperties>
</file>

<file path=docProps/custom.xml><?xml version="1.0" encoding="utf-8"?>
<Properties xmlns="http://schemas.openxmlformats.org/officeDocument/2006/custom-properties" xmlns:vt="http://schemas.openxmlformats.org/officeDocument/2006/docPropsVTypes"/>
</file>