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Principal Commissioner /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[Jodhpur, Rajasthan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Intimation of the Company’s decision to reverse the disputed input tax credit as a commercial settlement, without admission, and application under Section 80 of the CGST Act, 2017 read with Rule 158 for payment of the consequential interest in monthly instalments — Summons / SCN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Summons under Section 70 / Show Cause Notice under Section 73/74, dated [____]; disputed ITC Rs. [____] for July 2017 to September 2021.</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facts (allegations of supplier non-deposit / supplier not traceable / goods not received; the Company holding the full Section 16 / Rule 36 documentation; the decision to reverse purely to avoid litigation; and the financial-crisis basis for instalments) are reproduced from the source. See the eligibility note in Submission 2 on the Section 80 exclusion.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has alleged that input tax credit of Rs. [____] availed by the Company over July 2017 to September 2021 is liable to reversal — on supplier-side grounds (non-deposit of tax by the supplier / supplier not physically traceable / goods allegedly not received). The Company </w:t>
      </w:r>
      <w:r>
        <w:rPr>
          <w:rFonts w:ascii="Times New Roman" w:cs="Times New Roman" w:eastAsia="Times New Roman" w:hAnsi="Times New Roman"/>
          <w:b/>
          <w:bCs/>
          <w:i w:val="false"/>
          <w:iCs w:val="false"/>
          <w:caps w:val="false"/>
          <w:sz w:val="24"/>
          <w:szCs w:val="24"/>
        </w:rPr>
        <w:t xml:space="preserve">denies the allegations</w:t>
      </w:r>
      <w:r>
        <w:rPr>
          <w:rFonts w:ascii="Times New Roman" w:cs="Times New Roman" w:eastAsia="Times New Roman" w:hAnsi="Times New Roman"/>
          <w:b w:val="false"/>
          <w:bCs w:val="false"/>
          <w:i w:val="false"/>
          <w:iCs w:val="false"/>
          <w:caps w:val="false"/>
          <w:sz w:val="24"/>
          <w:szCs w:val="24"/>
        </w:rPr>
        <w:t xml:space="preserve">: the goods were received, the invoices are genuine, the suppliers were paid including tax through banking channels, and the complete Section 16 read with Rule 36 documentation is held (Annexure 1). Purely as a </w:t>
      </w:r>
      <w:r>
        <w:rPr>
          <w:rFonts w:ascii="Times New Roman" w:cs="Times New Roman" w:eastAsia="Times New Roman" w:hAnsi="Times New Roman"/>
          <w:b/>
          <w:bCs/>
          <w:i w:val="false"/>
          <w:iCs w:val="false"/>
          <w:caps w:val="false"/>
          <w:sz w:val="24"/>
          <w:szCs w:val="24"/>
        </w:rPr>
        <w:t xml:space="preserve">commercial settlement to avoid protracted litigation</w:t>
      </w:r>
      <w:r>
        <w:rPr>
          <w:rFonts w:ascii="Times New Roman" w:cs="Times New Roman" w:eastAsia="Times New Roman" w:hAnsi="Times New Roman"/>
          <w:b w:val="false"/>
          <w:bCs w:val="false"/>
          <w:i w:val="false"/>
          <w:iCs w:val="false"/>
          <w:caps w:val="false"/>
          <w:sz w:val="24"/>
          <w:szCs w:val="24"/>
        </w:rPr>
        <w:t xml:space="preserve">, and expressly without admission, the Company has decided to reverse the said credit. It seeks two things: (i) that the reversal through Form GST DRC-03 be accepted with closure under Section 73(5)/(8) and no penalty; and (ii) that the consequential interest be permitted to be paid in [number] monthly instalments under Section 80 read with Rule 158, the Company being under genuine financial strain.</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and the allegation.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received the Summons / SCN dated [____] alleging that ITC of Rs. [____] for July 2017 to September 2021 is liable to reversal on supplier-side grounds.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Company’s documentation. </w:t>
      </w:r>
      <w:r>
        <w:rPr>
          <w:rFonts w:ascii="Times New Roman" w:cs="Times New Roman" w:eastAsia="Times New Roman" w:hAnsi="Times New Roman"/>
          <w:b w:val="false"/>
          <w:bCs w:val="false"/>
          <w:i w:val="false"/>
          <w:iCs w:val="false"/>
          <w:caps w:val="false"/>
          <w:sz w:val="24"/>
          <w:szCs w:val="24"/>
        </w:rPr>
        <w:t xml:space="preserve">The Company holds the tax invoices, evidence of receipt of the goods, proof of payment including tax through banking channels, e-way bills and supplier ledgers (Annexure 1) — the complete trail required by Section 16 read with Rule 36. There is no allegation, and no case, of a fake invoice against the Company.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commercial decision. </w:t>
      </w:r>
      <w:r>
        <w:rPr>
          <w:rFonts w:ascii="Times New Roman" w:cs="Times New Roman" w:eastAsia="Times New Roman" w:hAnsi="Times New Roman"/>
          <w:b w:val="false"/>
          <w:bCs w:val="false"/>
          <w:i w:val="false"/>
          <w:iCs w:val="false"/>
          <w:caps w:val="false"/>
          <w:sz w:val="24"/>
          <w:szCs w:val="24"/>
        </w:rPr>
        <w:t xml:space="preserve">Notwithstanding its position on merits, the Company has decided, purely to buy peace and avoid the cost and distraction of litigation, to reverse the disputed credit. The reversal is being effected through Form GST DRC-03 [ARN ____ dated ____], expressly under protest and without admission of any wrongdoing.</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financial position. </w:t>
      </w:r>
      <w:r>
        <w:rPr>
          <w:rFonts w:ascii="Times New Roman" w:cs="Times New Roman" w:eastAsia="Times New Roman" w:hAnsi="Times New Roman"/>
          <w:b w:val="false"/>
          <w:bCs w:val="false"/>
          <w:i w:val="false"/>
          <w:iCs w:val="false"/>
          <w:caps w:val="false"/>
          <w:sz w:val="24"/>
          <w:szCs w:val="24"/>
        </w:rPr>
        <w:t xml:space="preserve">The Company is under financial strain [pandemic-era receivables, depressed turnover — evidence at Annexure 2] and is unable to discharge the consequential interest in a lump sum; it undertakes punctual payment in [number] equal monthly instalments.</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reversal with interest merits closure without penalty — Section 73(5) / 73(8)</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the person chargeable pays the tax with interest before service of notice (Section 73(5)) or within thirty days of its issuance (Section 73(8)), no penalty is payable and the proceedings are deemed concluded. The Company’s reversal, with the interest to follow under the instalment plan sought, is precisely such a payment. There being no fraud, wilful misstatement or suppression — the Company’s documentation is complete, and the settlement is commercial — Section 74 has no application, and the proceeding ought to be closed without penalty on the Department’s acceptance in Form GST DRC-04 / DRC-05.</w:t>
      </w:r>
    </w:p>
    <w:p>
      <w:pPr>
        <w:pStyle w:val="Heading2"/>
        <w:spacing w:after="140" w:before="200"/>
      </w:pPr>
      <w:r>
        <w:rPr>
          <w:rFonts w:ascii="Times New Roman" w:cs="Times New Roman" w:eastAsia="Times New Roman" w:hAnsi="Times New Roman"/>
          <w:b/>
          <w:bCs/>
          <w:sz w:val="24"/>
          <w:szCs w:val="24"/>
        </w:rPr>
        <w:t xml:space="preserve">Submission 2: Instalments for the interest — Section 80 read with Rule 158</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80 empowers the Commissioner, for reasons recorded, to extend time or allow payment in monthly instalments (not exceeding twenty-four) of ‘any amount due under this Act, other than the amount due as per the liability self-assessed in any return’, subject to interest under Section 50. Rule 158 prescribes the application in Form GST DRC-20 and the order in Form GST DRC-21. The interest here arises from an officer-ascertained allegation accepted in settlement — not from the liability self-assessed in any return, which stands discharged in full — and is therefore within Section 80. The Company applies in Form GST DRC-20 for [number] equal monthly instalments of Rs. [____], and accepts such conditions as may be imposed.</w:t>
      </w:r>
    </w:p>
    <w:p>
      <w:pPr>
        <w:spacing w:after="120" w:before="120"/>
        <w:jc w:val="both"/>
      </w:pPr>
      <w:r>
        <w:rPr>
          <w:rFonts w:ascii="Times New Roman" w:cs="Times New Roman" w:eastAsia="Times New Roman" w:hAnsi="Times New Roman"/>
          <w:b/>
          <w:bCs/>
          <w:i/>
          <w:iCs/>
          <w:sz w:val="20"/>
          <w:szCs w:val="20"/>
        </w:rPr>
        <w:t xml:space="preserve">Eligibility note (for review): </w:t>
      </w:r>
      <w:r>
        <w:rPr>
          <w:rFonts w:ascii="Times New Roman" w:cs="Times New Roman" w:eastAsia="Times New Roman" w:hAnsi="Times New Roman"/>
          <w:i/>
          <w:iCs/>
          <w:sz w:val="20"/>
          <w:szCs w:val="20"/>
        </w:rPr>
        <w:t xml:space="preserve">Section 80 excludes amounts due as per the self-assessed return liability, and Rule 158(2) extends the exclusion to the latest return. The position maintained here is that interest consequential to a settlement of an officer-raised allegation is not ‘self-assessed in any return’. The jurisdictional view should be confirmed before filing; in the alternative, the Company seeks an extension of time for payment under the same provision. [VERIFY]</w:t>
      </w:r>
    </w:p>
    <w:p>
      <w:pPr>
        <w:pStyle w:val="Heading2"/>
        <w:spacing w:after="140" w:before="200"/>
      </w:pPr>
      <w:r>
        <w:rPr>
          <w:rFonts w:ascii="Times New Roman" w:cs="Times New Roman" w:eastAsia="Times New Roman" w:hAnsi="Times New Roman"/>
          <w:b/>
          <w:bCs/>
          <w:sz w:val="24"/>
          <w:szCs w:val="24"/>
        </w:rPr>
        <w:t xml:space="preserve">Submission 3: The discretion ought to be exercised in the Company’s favour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chosen candour over contest: it is reversing a credit it believes defensible, sparing the Department a long adjudication. Its returns are regular; the difficulty is genuine and evidenced; instalments with interest protect the revenue in full. These are precisely the circumstances for which Section 80 exists.</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Learned Commissioner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ACCEPT the reversal of Rs. [____] through Form GST DRC-03 as a settlement without admission, and CLOSE the proceeding under Section 73(5)/73(8) without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payment of the consequential interest in [number] equal monthly instalments under Section 80 read with Rule 158, by order in Form GST DRC-21 on the application in Form GST DRC-20;</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recovery in abeyance pending disposal of this application;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 50, 70, 73 (including sub-sections (5) and (8)) and 80 of the CGST Act, 2017; Rules 36, 142 and 158 of the CGST Rules, 2017 (Forms GST DRC-03, DRC-04, DRC-20, DRC-21).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Invoices, receipt evidence, banking-channel payment proofs, e-way bills, supplier ledgers (Section 16 / Rule 36 trail).</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Evidence of financial difficulty; Form GST DRC-03 and DRC-20 copies.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2026-06-13T08:26:24.593Z</dcterms:created>
  <dcterms:modified xsi:type="dcterms:W3CDTF">2026-06-13T08:26:24.593Z</dcterms:modified>
</cp:coreProperties>
</file>

<file path=docProps/custom.xml><?xml version="1.0" encoding="utf-8"?>
<Properties xmlns="http://schemas.openxmlformats.org/officeDocument/2006/custom-properties" xmlns:vt="http://schemas.openxmlformats.org/officeDocument/2006/docPropsVTypes"/>
</file>