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Commissioner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Objection under Rule 159(5) of the CGST Rules, 2017 to the provisional attachment of the Company’s bank accounts under Section 83, with an offer of an undertaking not to alienate or encumber the Company’s immovable property without the Department’s prior approval, in substitution — DRC-22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under Section 73/74 dated [____]; provisional attachment in Form GST DRC-22 dated [____]; bank account(s) No. [____] with [Bank].</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facts (an SCN under Section 73/74; a DRC-22 debit-freeze learnt of from the bank; and the Rule 159(5) objection) are reproduced from the source, which also reproduces Section 83. The undertaking offer on the immovable property implements the source’s subject.</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Upon issuance of a Show Cause Notice under Section 73/74, the Department has provisionally attached the Company’s bank accounts under Section 83 — the Company learning of the debit-freeze from its bank. The Company objects under Rule 159(5). The attachment of the </w:t>
      </w:r>
      <w:r>
        <w:rPr>
          <w:rFonts w:ascii="Times New Roman" w:cs="Times New Roman" w:eastAsia="Times New Roman" w:hAnsi="Times New Roman"/>
          <w:b/>
          <w:bCs/>
          <w:i w:val="false"/>
          <w:iCs w:val="false"/>
          <w:caps w:val="false"/>
          <w:sz w:val="24"/>
          <w:szCs w:val="24"/>
        </w:rPr>
        <w:t xml:space="preserve">operating bank accounts</w:t>
      </w:r>
      <w:r>
        <w:rPr>
          <w:rFonts w:ascii="Times New Roman" w:cs="Times New Roman" w:eastAsia="Times New Roman" w:hAnsi="Times New Roman"/>
          <w:b w:val="false"/>
          <w:bCs w:val="false"/>
          <w:i w:val="false"/>
          <w:iCs w:val="false"/>
          <w:caps w:val="false"/>
          <w:sz w:val="24"/>
          <w:szCs w:val="24"/>
        </w:rPr>
        <w:t xml:space="preserve"> of a running business is the most drastic form the Section 83 power can take, and the Supreme Court has confined that power to cases of demonstrated necessity on tangible material, exercised proportionately. None of that appears here: the SCN itself is the only event, no material of dissipation exists, and the Company is an established, compliant business. To place the matter beyond doubt, the Company </w:t>
      </w:r>
      <w:r>
        <w:rPr>
          <w:rFonts w:ascii="Times New Roman" w:cs="Times New Roman" w:eastAsia="Times New Roman" w:hAnsi="Times New Roman"/>
          <w:b/>
          <w:bCs/>
          <w:i w:val="false"/>
          <w:iCs w:val="false"/>
          <w:caps w:val="false"/>
          <w:sz w:val="24"/>
          <w:szCs w:val="24"/>
        </w:rPr>
        <w:t xml:space="preserve">offers an undertaking</w:t>
      </w:r>
      <w:r>
        <w:rPr>
          <w:rFonts w:ascii="Times New Roman" w:cs="Times New Roman" w:eastAsia="Times New Roman" w:hAnsi="Times New Roman"/>
          <w:b w:val="false"/>
          <w:bCs w:val="false"/>
          <w:i w:val="false"/>
          <w:iCs w:val="false"/>
          <w:caps w:val="false"/>
          <w:sz w:val="24"/>
          <w:szCs w:val="24"/>
        </w:rPr>
        <w:t xml:space="preserve"> not to alienate, transfer or encumber its immovable property at [description, survey/CTS No., value Rs. ____] without the Department’s prior written approval — security that protects the revenue in full while letting the business breathe. The bank accounts ought to be released, the undertaking (or an attachment of the immovable property in substitution) standing in their place.</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and the SCN.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received the SCN dated [____] under Section 73/74 alleging Rs. [____] for July to March [period]. The Company is contesting the SCN on merits by its reply dated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attachment. </w:t>
      </w:r>
      <w:r>
        <w:rPr>
          <w:rFonts w:ascii="Times New Roman" w:cs="Times New Roman" w:eastAsia="Times New Roman" w:hAnsi="Times New Roman"/>
          <w:b w:val="false"/>
          <w:bCs w:val="false"/>
          <w:i w:val="false"/>
          <w:iCs w:val="false"/>
          <w:caps w:val="false"/>
          <w:sz w:val="24"/>
          <w:szCs w:val="24"/>
        </w:rPr>
        <w:t xml:space="preserve">The Company learnt from [Bank] that by Form GST DRC-22 dated [____] the Department has directed a debit-freeze of account(s) No. [____] under Section 83 read with Rule 159, on account of the pendency of the SCN.</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Company’s assets and conduct. </w:t>
      </w:r>
      <w:r>
        <w:rPr>
          <w:rFonts w:ascii="Times New Roman" w:cs="Times New Roman" w:eastAsia="Times New Roman" w:hAnsi="Times New Roman"/>
          <w:b w:val="false"/>
          <w:bCs w:val="false"/>
          <w:i w:val="false"/>
          <w:iCs w:val="false"/>
          <w:caps w:val="false"/>
          <w:sz w:val="24"/>
          <w:szCs w:val="24"/>
        </w:rPr>
        <w:t xml:space="preserve">The Company owns unencumbered immovable property at [description] of value Rs. [____] (valuation at Annexure 2) — exceeding the alleged demand. Its returns are regular; there is no allegation, let alone material, of asset-stripping or flight.</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The conditions of Section 83 are not satisfied — Radha Krishan Industries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In </w:t>
      </w:r>
      <w:r>
        <w:rPr>
          <w:rFonts w:ascii="Times New Roman" w:cs="Times New Roman" w:eastAsia="Times New Roman" w:hAnsi="Times New Roman"/>
          <w:b w:val="false"/>
          <w:bCs w:val="false"/>
          <w:i/>
          <w:iCs/>
          <w:caps w:val="false"/>
          <w:sz w:val="24"/>
          <w:szCs w:val="24"/>
        </w:rPr>
        <w:t xml:space="preserve">Radha Krishan Industries v. State of Himachal Pradesh</w:t>
      </w:r>
      <w:r>
        <w:rPr>
          <w:rFonts w:ascii="Times New Roman" w:cs="Times New Roman" w:eastAsia="Times New Roman" w:hAnsi="Times New Roman"/>
          <w:b w:val="false"/>
          <w:bCs w:val="false"/>
          <w:i w:val="false"/>
          <w:iCs w:val="false"/>
          <w:caps w:val="false"/>
          <w:sz w:val="24"/>
          <w:szCs w:val="24"/>
        </w:rPr>
        <w:t xml:space="preserve">, (2021) 6 SCC 771 / 2021 SCC OnLine SC 334, Civil Appeal No. 1155 of 2021, decided 20.04.2021, the Hon’ble Supreme Court held that provisional attachment is a draconian power: there must be pending proceedings, a formed opinion on </w:t>
      </w:r>
      <w:r>
        <w:rPr>
          <w:rFonts w:ascii="Times New Roman" w:cs="Times New Roman" w:eastAsia="Times New Roman" w:hAnsi="Times New Roman"/>
          <w:b w:val="false"/>
          <w:bCs w:val="false"/>
          <w:i/>
          <w:iCs/>
          <w:caps w:val="false"/>
          <w:sz w:val="24"/>
          <w:szCs w:val="24"/>
        </w:rPr>
        <w:t xml:space="preserve">tangible material</w:t>
      </w:r>
      <w:r>
        <w:rPr>
          <w:rFonts w:ascii="Times New Roman" w:cs="Times New Roman" w:eastAsia="Times New Roman" w:hAnsi="Times New Roman"/>
          <w:b w:val="false"/>
          <w:bCs w:val="false"/>
          <w:i w:val="false"/>
          <w:iCs w:val="false"/>
          <w:caps w:val="false"/>
          <w:sz w:val="24"/>
          <w:szCs w:val="24"/>
        </w:rPr>
        <w:t xml:space="preserve"> that attachment is </w:t>
      </w:r>
      <w:r>
        <w:rPr>
          <w:rFonts w:ascii="Times New Roman" w:cs="Times New Roman" w:eastAsia="Times New Roman" w:hAnsi="Times New Roman"/>
          <w:b w:val="false"/>
          <w:bCs w:val="false"/>
          <w:i/>
          <w:iCs/>
          <w:caps w:val="false"/>
          <w:sz w:val="24"/>
          <w:szCs w:val="24"/>
        </w:rPr>
        <w:t xml:space="preserve">necessary</w:t>
      </w:r>
      <w:r>
        <w:rPr>
          <w:rFonts w:ascii="Times New Roman" w:cs="Times New Roman" w:eastAsia="Times New Roman" w:hAnsi="Times New Roman"/>
          <w:b w:val="false"/>
          <w:bCs w:val="false"/>
          <w:i w:val="false"/>
          <w:iCs w:val="false"/>
          <w:caps w:val="false"/>
          <w:sz w:val="24"/>
          <w:szCs w:val="24"/>
        </w:rPr>
        <w:t xml:space="preserve"> to protect the revenue, and proportionality in the property chosen; and the Rule 159(5) objection must be decided by a speaking order after hearing. The mere pendency of an SCN supplies none of this — necessity is not the same as pendency. No material suggesting dissipation has been disclosed; the attachment of the operating accounts is the most disproportionate choice available.</w:t>
      </w:r>
    </w:p>
    <w:p>
      <w:pPr>
        <w:pStyle w:val="Heading2"/>
        <w:spacing w:after="140" w:before="200"/>
      </w:pPr>
      <w:r>
        <w:rPr>
          <w:rFonts w:ascii="Times New Roman" w:cs="Times New Roman" w:eastAsia="Times New Roman" w:hAnsi="Times New Roman"/>
          <w:b/>
          <w:bCs/>
          <w:sz w:val="24"/>
          <w:szCs w:val="24"/>
        </w:rPr>
        <w:t xml:space="preserve">Submission 2: The Board’s own guidelines postpone bank and business assets to immovable property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Board’s guidelines on provisional attachment dated 23.02.2021 (F. No. CBEC-20/16/05/2021-GST/359) direct that movable property, including bank accounts, should be attached </w:t>
      </w:r>
      <w:r>
        <w:rPr>
          <w:rFonts w:ascii="Times New Roman" w:cs="Times New Roman" w:eastAsia="Times New Roman" w:hAnsi="Times New Roman"/>
          <w:b w:val="false"/>
          <w:bCs w:val="false"/>
          <w:i/>
          <w:iCs/>
          <w:caps w:val="false"/>
          <w:sz w:val="24"/>
          <w:szCs w:val="24"/>
        </w:rPr>
        <w:t xml:space="preserve">only if</w:t>
      </w:r>
      <w:r>
        <w:rPr>
          <w:rFonts w:ascii="Times New Roman" w:cs="Times New Roman" w:eastAsia="Times New Roman" w:hAnsi="Times New Roman"/>
          <w:b w:val="false"/>
          <w:bCs w:val="false"/>
          <w:i w:val="false"/>
          <w:iCs w:val="false"/>
          <w:caps w:val="false"/>
          <w:sz w:val="24"/>
          <w:szCs w:val="24"/>
        </w:rPr>
        <w:t xml:space="preserve"> the immovable property available is insufficient to protect the revenue, and that attachment should not hamper normal business activities. Here, the Company’s unencumbered immovable property exceeds the alleged demand; the freeze of the operating accounts inverts the Board’s own hierarchy and is hampering salaries, supplier payments and the Company’s ongoing tax payments themselves. Reliance is also placed on </w:t>
      </w:r>
      <w:r>
        <w:rPr>
          <w:rFonts w:ascii="Times New Roman" w:cs="Times New Roman" w:eastAsia="Times New Roman" w:hAnsi="Times New Roman"/>
          <w:b w:val="false"/>
          <w:bCs w:val="false"/>
          <w:i/>
          <w:iCs/>
          <w:caps w:val="false"/>
          <w:sz w:val="24"/>
          <w:szCs w:val="24"/>
        </w:rPr>
        <w:t xml:space="preserve">Valerius Industries v. Union of India</w:t>
      </w:r>
      <w:r>
        <w:rPr>
          <w:rFonts w:ascii="Times New Roman" w:cs="Times New Roman" w:eastAsia="Times New Roman" w:hAnsi="Times New Roman"/>
          <w:b w:val="false"/>
          <w:bCs w:val="false"/>
          <w:i w:val="false"/>
          <w:iCs w:val="false"/>
          <w:caps w:val="false"/>
          <w:sz w:val="24"/>
          <w:szCs w:val="24"/>
        </w:rPr>
        <w:t xml:space="preserve">, Gujarat HC, R/SCA No. 13132 of 2019, 28.08.2019 (bank attachment a last resort).</w:t>
      </w:r>
    </w:p>
    <w:p>
      <w:pPr>
        <w:pStyle w:val="Heading2"/>
        <w:spacing w:after="140" w:before="200"/>
      </w:pPr>
      <w:r>
        <w:rPr>
          <w:rFonts w:ascii="Times New Roman" w:cs="Times New Roman" w:eastAsia="Times New Roman" w:hAnsi="Times New Roman"/>
          <w:b/>
          <w:bCs/>
          <w:sz w:val="24"/>
          <w:szCs w:val="24"/>
        </w:rPr>
        <w:t xml:space="preserve">Submission 3: The undertaking — and substitution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hereby offers, and is ready to execute in such form as the Department prescribes, an undertaking that it shall not alienate, transfer, mortgage or otherwise encumber the immovable property at [description, survey/CTS No.] without the Department’s prior written approval, until the conclusion of the proceedings under the SCN. In the alternative, the Department may attach the said immovable property under Section 83 in substitution. Either course protects the revenue fully — the property value exceeding the alleged demand — while releasing the lifeblood of the business. The Company requests a hearing on this objection and a speaking order, as Rule 159(5) and Radha Krishan Industries require.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Learned Commissioner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RELEASE the provisional attachment of the Company’s bank account(s) No. [____] with [Bank], by order in Form GST DRC-23;</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ACCEPT the Company’s undertaking not to alienate or encumber the immovable property at [description] without prior written approval — or, in the alternative, SUBSTITUTE the attachment to the said immovable property;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AFFORD a hearing on this objection under Rule 159(5) and PASS a speaking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 83 of the CGST Act, 2017; Rule 159 (including sub-rule (5)) of the CGST Rules, 2017 (Forms GST DRC-22 and DRC-23).</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Radha Krishan Industries v. State of Himachal Pradesh, Supreme Court, (2021) 6 SCC 771 / 2021 SCC OnLine SC 334, CA 1155/2021, 20.04.2021; Kesari Nandan Mobile v. Office of the Assistant Commissioner of State Tax, Supreme Court, 2025 (8) TMI 992 (SC) (provisional attachment cannot be renewed after the one-year cessation under Section 83(2)); Valerius Industries v. Union of India, Gujarat HC, R/SCA 13132/2019, 28.08.2019; CBIC guidelines dated 23.02.2021 (F. No. CBEC-20/16/05/2021-GST/359).</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Copies of the SCN, DRC-22 and the bank’s intimation.</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Title documents and valuation of the immovable property; draft undertaking.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2026-06-13T08:26:24.833Z</dcterms:created>
  <dcterms:modified xsi:type="dcterms:W3CDTF">2026-06-13T08:26:24.833Z</dcterms:modified>
</cp:coreProperties>
</file>

<file path=docProps/custom.xml><?xml version="1.0" encoding="utf-8"?>
<Properties xmlns="http://schemas.openxmlformats.org/officeDocument/2006/custom-properties" xmlns:vt="http://schemas.openxmlformats.org/officeDocument/2006/docPropsVTypes"/>
</file>