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line="276"/>
        <w:jc w:val="both"/>
      </w:pPr>
      <w:r>
        <w:rPr>
          <w:rFonts w:ascii="Times New Roman" w:cs="Times New Roman" w:eastAsia="Times New Roman" w:hAnsi="Times New Roman"/>
          <w:b w:val="false"/>
          <w:bCs w:val="false"/>
          <w:i w:val="false"/>
          <w:iCs w:val="false"/>
          <w:caps w:val="false"/>
          <w:sz w:val="24"/>
          <w:szCs w:val="24"/>
        </w:rPr>
        <w:t xml:space="preserve">To,</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The Learned Proper Officer (Registration)</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[Designation, Ward / Circle / Jurisdiction]</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[Office Address]</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Through: </w:t>
      </w:r>
      <w:r>
        <w:rPr>
          <w:rFonts w:ascii="Times New Roman" w:cs="Times New Roman" w:eastAsia="Times New Roman" w:hAnsi="Times New Roman"/>
          <w:b w:val="false"/>
          <w:bCs w:val="false"/>
          <w:i w:val="false"/>
          <w:iCs w:val="false"/>
          <w:caps w:val="false"/>
          <w:sz w:val="24"/>
          <w:szCs w:val="24"/>
        </w:rPr>
        <w:t xml:space="preserve">the common portal and by e-mail / hand delivery</w:t>
      </w:r>
    </w:p>
    <w:p>
      <w:pPr>
        <w:spacing w:after="60" w:line="276"/>
        <w:jc w:val="both"/>
      </w:pPr>
      <w:r>
        <w:rPr>
          <w:rFonts w:ascii="Times New Roman" w:cs="Times New Roman" w:eastAsia="Times New Roman" w:hAnsi="Times New Roman"/>
          <w:b w:val="false"/>
          <w:bCs w:val="false"/>
          <w:i w:val="false"/>
          <w:iCs w:val="false"/>
          <w:caps w:val="false"/>
          <w:sz w:val="24"/>
          <w:szCs w:val="24"/>
        </w:rPr>
        <w:t xml:space="preserve">In the matter of: </w:t>
      </w:r>
      <w:r>
        <w:rPr>
          <w:rFonts w:ascii="Times New Roman" w:cs="Times New Roman" w:eastAsia="Times New Roman" w:hAnsi="Times New Roman"/>
          <w:b/>
          <w:bCs/>
          <w:i w:val="false"/>
          <w:iCs w:val="false"/>
          <w:caps w:val="false"/>
          <w:sz w:val="24"/>
          <w:szCs w:val="24"/>
        </w:rPr>
        <w:t xml:space="preserve">M/s Noticedesk Technologies Private Limited</w:t>
      </w:r>
      <w:r>
        <w:rPr>
          <w:rFonts w:ascii="Times New Roman" w:cs="Times New Roman" w:eastAsia="Times New Roman" w:hAnsi="Times New Roman"/>
          <w:b w:val="false"/>
          <w:bCs w:val="false"/>
          <w:i w:val="false"/>
          <w:iCs w:val="false"/>
          <w:caps w:val="false"/>
          <w:sz w:val="24"/>
          <w:szCs w:val="24"/>
        </w:rPr>
        <w:t xml:space="preserve">  |  GSTIN [____________]  |  [Registered Address]</w:t>
      </w:r>
    </w:p>
    <w:p>
      <w:pPr>
        <w:spacing w:after="60" w:line="276"/>
        <w:jc w:val="both"/>
      </w:pPr>
      <w:r>
        <w:rPr>
          <w:rFonts w:ascii="Times New Roman" w:cs="Times New Roman" w:eastAsia="Times New Roman" w:hAnsi="Times New Roman"/>
          <w:b/>
          <w:bCs/>
          <w:i w:val="false"/>
          <w:iCs w:val="false"/>
          <w:caps w:val="false"/>
          <w:sz w:val="24"/>
          <w:szCs w:val="24"/>
        </w:rPr>
        <w:t xml:space="preserve">Subject: </w:t>
      </w:r>
      <w:r>
        <w:rPr>
          <w:rFonts w:ascii="Times New Roman" w:cs="Times New Roman" w:eastAsia="Times New Roman" w:hAnsi="Times New Roman"/>
          <w:b/>
          <w:bCs/>
          <w:i w:val="false"/>
          <w:iCs w:val="false"/>
          <w:caps w:val="false"/>
          <w:sz w:val="24"/>
          <w:szCs w:val="24"/>
        </w:rPr>
        <w:t xml:space="preserve">Application for revocation of the cancellation of registration under Section 30 read with Rule 23 (Form GST REG-21) — the cancellation having been ordered under Rule 21(d) for non-furnishing of bank account details under Rule 10A, a curable default since cured — cancellation order dated [____].</w:t>
      </w:r>
    </w:p>
    <w:p>
      <w:pPr>
        <w:spacing w:after="120" w:line="276"/>
        <w:jc w:val="both"/>
      </w:pPr>
      <w:r>
        <w:rPr>
          <w:rFonts w:ascii="Times New Roman" w:cs="Times New Roman" w:eastAsia="Times New Roman" w:hAnsi="Times New Roman"/>
          <w:b/>
          <w:bCs/>
          <w:i w:val="false"/>
          <w:iCs w:val="false"/>
          <w:caps w:val="false"/>
          <w:sz w:val="24"/>
          <w:szCs w:val="24"/>
        </w:rPr>
        <w:t xml:space="preserve">Ref: </w:t>
      </w:r>
      <w:r>
        <w:rPr>
          <w:rFonts w:ascii="Times New Roman" w:cs="Times New Roman" w:eastAsia="Times New Roman" w:hAnsi="Times New Roman"/>
          <w:b w:val="false"/>
          <w:bCs w:val="false"/>
          <w:i w:val="false"/>
          <w:iCs w:val="false"/>
          <w:caps w:val="false"/>
          <w:sz w:val="24"/>
          <w:szCs w:val="24"/>
        </w:rPr>
        <w:t xml:space="preserve">SCN in Form GST REG-17 [seen on the portal only]; order of cancellation dated [____]; bank details since furnished on [____].</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Respected Sir / Madam,</w:t>
      </w:r>
    </w:p>
    <w:p>
      <w:pPr>
        <w:spacing w:after="120"/>
        <w:jc w:val="both"/>
      </w:pPr>
      <w:r>
        <w:rPr>
          <w:rFonts w:ascii="Times New Roman" w:cs="Times New Roman" w:eastAsia="Times New Roman" w:hAnsi="Times New Roman"/>
          <w:b/>
          <w:bCs/>
          <w:i/>
          <w:iCs/>
          <w:sz w:val="20"/>
          <w:szCs w:val="20"/>
        </w:rPr>
        <w:t xml:space="preserve">Drafting note (to be removed before filing): </w:t>
      </w:r>
      <w:r>
        <w:rPr>
          <w:rFonts w:ascii="Times New Roman" w:cs="Times New Roman" w:eastAsia="Times New Roman" w:hAnsi="Times New Roman"/>
          <w:i/>
          <w:iCs/>
          <w:sz w:val="20"/>
          <w:szCs w:val="20"/>
        </w:rPr>
        <w:t xml:space="preserve">Particulars in bold square brackets are placeholders. The facts (SCN under Rule 21 for violation of Rule 10A seen only on the portal; the Company unaware for want of login; cancellation ordered; bank details since furnished) are reproduced from the source, which also reproduces Rules 10A and 21. The current limitation for the revocation application is flagged [VERIFY].</w:t>
      </w:r>
    </w:p>
    <w:p>
      <w:pPr>
        <w:pStyle w:val="Heading1"/>
        <w:spacing w:after="160" w:before="260"/>
      </w:pPr>
      <w:r>
        <w:rPr>
          <w:rFonts w:ascii="Times New Roman" w:cs="Times New Roman" w:eastAsia="Times New Roman" w:hAnsi="Times New Roman"/>
          <w:b/>
          <w:bCs/>
          <w:caps/>
          <w:sz w:val="26"/>
          <w:szCs w:val="26"/>
        </w:rPr>
        <w:t xml:space="preserve">Synopsis</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The Company’s registration has been cancelled for a single, wholly procedural default: bank account details were not furnished on the portal within the time prescribed by Rule 10A. The Show Cause Notice in Form GST REG-17 was uploaded only on the portal; the Company, not having logged in during the period, learnt of the proceeding only from the cancellation communication. The default now </w:t>
      </w:r>
      <w:r>
        <w:rPr>
          <w:rFonts w:ascii="Times New Roman" w:cs="Times New Roman" w:eastAsia="Times New Roman" w:hAnsi="Times New Roman"/>
          <w:b/>
          <w:bCs/>
          <w:i w:val="false"/>
          <w:iCs w:val="false"/>
          <w:caps w:val="false"/>
          <w:sz w:val="24"/>
          <w:szCs w:val="24"/>
        </w:rPr>
        <w:t xml:space="preserve">stands cured</w:t>
      </w:r>
      <w:r>
        <w:rPr>
          <w:rFonts w:ascii="Times New Roman" w:cs="Times New Roman" w:eastAsia="Times New Roman" w:hAnsi="Times New Roman"/>
          <w:b w:val="false"/>
          <w:bCs w:val="false"/>
          <w:i w:val="false"/>
          <w:iCs w:val="false"/>
          <w:caps w:val="false"/>
          <w:sz w:val="24"/>
          <w:szCs w:val="24"/>
        </w:rPr>
        <w:t xml:space="preserve"> — the bank account details [account No. ____, [Bank]] were furnished on [date] (Annexure 1) — and the Company’s returns stand filed with taxes, interest and late fee paid [/ will be filed before revocation, as Rule 23 requires]. Cancellation of registration is the civil death of a business; to inflict it for a curable, cured lapse, on a notice never actually brought home, is disproportionate. The Company applies in Form GST REG-21 for revocation under Section 30 read with Rule 23.</w:t>
      </w:r>
    </w:p>
    <w:p>
      <w:pPr>
        <w:pStyle w:val="Heading1"/>
        <w:spacing w:after="160" w:before="260"/>
      </w:pPr>
      <w:r>
        <w:rPr>
          <w:rFonts w:ascii="Times New Roman" w:cs="Times New Roman" w:eastAsia="Times New Roman" w:hAnsi="Times New Roman"/>
          <w:b/>
          <w:bCs/>
          <w:caps/>
          <w:sz w:val="26"/>
          <w:szCs w:val="26"/>
        </w:rPr>
        <w:t xml:space="preserve">Factual Background</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The registration and the default. </w:t>
      </w:r>
      <w:r>
        <w:rPr>
          <w:rFonts w:ascii="Times New Roman" w:cs="Times New Roman" w:eastAsia="Times New Roman" w:hAnsi="Times New Roman"/>
          <w:b w:val="false"/>
          <w:bCs w:val="false"/>
          <w:i w:val="false"/>
          <w:iCs w:val="false"/>
          <w:caps w:val="false"/>
          <w:sz w:val="24"/>
          <w:szCs w:val="24"/>
        </w:rPr>
        <w:t xml:space="preserve">M/s Noticedesk Technologies Private Limited, GSTIN [____________], was registered with effect from [____]. Owing to an inadvertence, the bank account details were not furnished within the period prescribed by Rule 10A (forty-five days from grant of registration or the due date of the first Section 39 return, whichever is earlier).</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The unseen SCN and the cancellation. </w:t>
      </w:r>
      <w:r>
        <w:rPr>
          <w:rFonts w:ascii="Times New Roman" w:cs="Times New Roman" w:eastAsia="Times New Roman" w:hAnsi="Times New Roman"/>
          <w:b w:val="false"/>
          <w:bCs w:val="false"/>
          <w:i w:val="false"/>
          <w:iCs w:val="false"/>
          <w:caps w:val="false"/>
          <w:sz w:val="24"/>
          <w:szCs w:val="24"/>
        </w:rPr>
        <w:t xml:space="preserve">The SCN in Form GST REG-17, invoking Rule 21(d), was uploaded on the portal; the Company had not logged in for the relevant period and was unaware of it. It learnt of the matter on receiving the cancellation communication dated [____], whereupon it checked the portal and found the SCN and the order.</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The cure. </w:t>
      </w:r>
      <w:r>
        <w:rPr>
          <w:rFonts w:ascii="Times New Roman" w:cs="Times New Roman" w:eastAsia="Times New Roman" w:hAnsi="Times New Roman"/>
          <w:b w:val="false"/>
          <w:bCs w:val="false"/>
          <w:i w:val="false"/>
          <w:iCs w:val="false"/>
          <w:caps w:val="false"/>
          <w:sz w:val="24"/>
          <w:szCs w:val="24"/>
        </w:rPr>
        <w:t xml:space="preserve">The bank account details were furnished on [date] (portal acknowledgment and cancelled cheque at Annexure 1). All returns due up to the date of cancellation stand filed, with tax, interest and late fee paid [/ are being filed herewith] (Annexure 2), as the proviso to Rule 23(1) requires.</w:t>
      </w:r>
    </w:p>
    <w:p>
      <w:pPr>
        <w:pStyle w:val="Heading1"/>
        <w:spacing w:after="160" w:before="260"/>
      </w:pPr>
      <w:r>
        <w:rPr>
          <w:rFonts w:ascii="Times New Roman" w:cs="Times New Roman" w:eastAsia="Times New Roman" w:hAnsi="Times New Roman"/>
          <w:b/>
          <w:bCs/>
          <w:caps/>
          <w:sz w:val="26"/>
          <w:szCs w:val="26"/>
        </w:rPr>
        <w:t xml:space="preserve">Grounds / Submissions</w:t>
      </w:r>
    </w:p>
    <w:p>
      <w:pPr>
        <w:pStyle w:val="Heading2"/>
        <w:spacing w:after="140" w:before="200"/>
      </w:pPr>
      <w:r>
        <w:rPr>
          <w:rFonts w:ascii="Times New Roman" w:cs="Times New Roman" w:eastAsia="Times New Roman" w:hAnsi="Times New Roman"/>
          <w:b/>
          <w:bCs/>
          <w:sz w:val="24"/>
          <w:szCs w:val="24"/>
        </w:rPr>
        <w:t xml:space="preserve">Ground 1: The default is curable and stands cured — nothing remains to support the cancellation</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Rule 10A is a compliance-facilitation provision; its breach injures no revenue and admits of complete cure. The details now stand furnished and verified. Once the foundation of the cancellation is removed, the cancellation ought not to survive: Section 30 read with Rule 23 exists precisely to restore registrations where the cause is remedied, and Rule 23 itself conditions revocation on the filing of returns and payment of dues — which the Company satisfies.</w:t>
      </w:r>
    </w:p>
    <w:p>
      <w:pPr>
        <w:pStyle w:val="Heading2"/>
        <w:spacing w:after="140" w:before="200"/>
      </w:pPr>
      <w:r>
        <w:rPr>
          <w:rFonts w:ascii="Times New Roman" w:cs="Times New Roman" w:eastAsia="Times New Roman" w:hAnsi="Times New Roman"/>
          <w:b/>
          <w:bCs/>
          <w:sz w:val="24"/>
          <w:szCs w:val="24"/>
        </w:rPr>
        <w:t xml:space="preserve">Ground 2: Proportionality — cancellation is the civil death of a business</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Cancellation extinguishes the Company’s ability to raise tax invoices, pass on credit and carry on business — consequences wholly disproportionate to a procedural lapse in furnishing bank particulars. The High Courts have repeatedly leaned in favour of restoration where the default is technical and cured, registration being intertwined with the right to carry on business under Article 19(1)(g) [jurisdictional authorities to be cited — VERIFY]. The discretion under Section 30 ought to be exercised for revival, not extinction.</w:t>
      </w:r>
    </w:p>
    <w:p>
      <w:pPr>
        <w:pStyle w:val="Heading2"/>
        <w:spacing w:after="140" w:before="200"/>
      </w:pPr>
      <w:r>
        <w:rPr>
          <w:rFonts w:ascii="Times New Roman" w:cs="Times New Roman" w:eastAsia="Times New Roman" w:hAnsi="Times New Roman"/>
          <w:b/>
          <w:bCs/>
          <w:sz w:val="24"/>
          <w:szCs w:val="24"/>
        </w:rPr>
        <w:t xml:space="preserve">Ground 3: The notice was never effectively brought home</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The SCN lived only on the portal. While portal upload is a prescribed mode under Section 169, the object of a show cause notice is an effective opportunity; where the person remains unaware and the default is of this technical character, the absence of any actual opportunity is a further reason to restore — the Company never got to cure within the SCN window precisely because it never knew of it. This application, with the cure and the returns, supplies everything the SCN sought.</w:t>
      </w:r>
    </w:p>
    <w:p>
      <w:pPr>
        <w:pStyle w:val="Heading2"/>
        <w:spacing w:after="140" w:before="200"/>
      </w:pPr>
      <w:r>
        <w:rPr>
          <w:rFonts w:ascii="Times New Roman" w:cs="Times New Roman" w:eastAsia="Times New Roman" w:hAnsi="Times New Roman"/>
          <w:b/>
          <w:bCs/>
          <w:sz w:val="24"/>
          <w:szCs w:val="24"/>
        </w:rPr>
        <w:t xml:space="preserve">Ground 4: Limitation</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This application in Form GST REG-21 is filed within the period prescribed by Section 30 [ninety days from service of the cancellation order, per the amended Section 30 — VERIFY the period and any extension/amnesty applicable on the date of filing; where needed, condonation is sought with this application, the delay being attributable to the unseen portal-only service].</w:t>
      </w:r>
    </w:p>
    <w:p>
      <w:pPr>
        <w:pStyle w:val="Heading1"/>
        <w:spacing w:after="160" w:before="260"/>
      </w:pPr>
      <w:r>
        <w:rPr>
          <w:rFonts w:ascii="Times New Roman" w:cs="Times New Roman" w:eastAsia="Times New Roman" w:hAnsi="Times New Roman"/>
          <w:b/>
          <w:bCs/>
          <w:caps/>
          <w:sz w:val="26"/>
          <w:szCs w:val="26"/>
        </w:rPr>
        <w:t xml:space="preserve">Prayer</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The Company most respectfully prays that the Proper Officer be pleased to:</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REVOKE the cancellation of the Company’s registration, by order in Form GST REG-22, under Section 30 read with Rule 23;</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TAKE on record the bank account details furnished under Rule 10A and the returns filed with dues paid;</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CONDONE, to the extent needed, any delay in this application, occasioned by the portal-only service of the SCN and the order; and</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PASS such further or other order as may be just and proper.</w:t>
      </w:r>
    </w:p>
    <w:p>
      <w:pPr>
        <w:spacing w:after="160" w:before="80" w:line="276"/>
        <w:jc w:val="both"/>
      </w:pPr>
      <w:r>
        <w:rPr>
          <w:rFonts w:ascii="Times New Roman" w:cs="Times New Roman" w:eastAsia="Times New Roman" w:hAnsi="Times New Roman"/>
          <w:b w:val="false"/>
          <w:bCs w:val="false"/>
          <w:i w:val="false"/>
          <w:iCs w:val="false"/>
          <w:caps w:val="false"/>
          <w:sz w:val="24"/>
          <w:szCs w:val="24"/>
        </w:rPr>
        <w:t xml:space="preserve">The Company reserves the right to file further submissions and to be heard. Nothing herein shall be construed as an admission of any kind.</w:t>
      </w:r>
    </w:p>
    <w:p>
      <w:pPr>
        <w:pStyle w:val="Heading1"/>
        <w:spacing w:after="160" w:before="260"/>
      </w:pPr>
      <w:r>
        <w:rPr>
          <w:rFonts w:ascii="Times New Roman" w:cs="Times New Roman" w:eastAsia="Times New Roman" w:hAnsi="Times New Roman"/>
          <w:b/>
          <w:bCs/>
          <w:caps/>
          <w:sz w:val="26"/>
          <w:szCs w:val="26"/>
        </w:rPr>
        <w:t xml:space="preserve">Authorities and Provisions Relied Upon</w:t>
      </w:r>
    </w:p>
    <w:p>
      <w:pPr>
        <w:pStyle w:val="ListParagraph"/>
        <w:numPr>
          <w:ilvl w:val="0"/>
          <w:numId w:val="4"/>
        </w:numPr>
        <w:spacing w:after="140" w:line="276"/>
        <w:jc w:val="both"/>
      </w:pPr>
      <w:r>
        <w:rPr>
          <w:rFonts w:ascii="Times New Roman" w:cs="Times New Roman" w:eastAsia="Times New Roman" w:hAnsi="Times New Roman"/>
          <w:b w:val="false"/>
          <w:bCs w:val="false"/>
          <w:i w:val="false"/>
          <w:iCs w:val="false"/>
          <w:caps w:val="false"/>
          <w:sz w:val="24"/>
          <w:szCs w:val="24"/>
        </w:rPr>
        <w:t xml:space="preserve">Sections 29(2), 30 and 169 of the CGST Act, 2017; Rules 10A, 21(d), 22 and 23 of the CGST Rules, 2017 (Forms GST REG-17, REG-19, REG-21 and REG-22).</w:t>
      </w:r>
    </w:p>
    <w:p>
      <w:pPr>
        <w:spacing w:after="20" w:before="160" w:line="276"/>
        <w:jc w:val="both"/>
      </w:pPr>
      <w:r>
        <w:rPr>
          <w:rFonts w:ascii="Times New Roman" w:cs="Times New Roman" w:eastAsia="Times New Roman" w:hAnsi="Times New Roman"/>
          <w:b w:val="false"/>
          <w:bCs w:val="false"/>
          <w:i w:val="false"/>
          <w:iCs w:val="false"/>
          <w:caps w:val="false"/>
          <w:sz w:val="24"/>
          <w:szCs w:val="24"/>
        </w:rPr>
        <w:t xml:space="preserve">For and on behalf of</w:t>
      </w:r>
    </w:p>
    <w:p>
      <w:pPr>
        <w:spacing w:after="200" w:line="276"/>
        <w:jc w:val="both"/>
      </w:pPr>
      <w:r>
        <w:rPr>
          <w:rFonts w:ascii="Times New Roman" w:cs="Times New Roman" w:eastAsia="Times New Roman" w:hAnsi="Times New Roman"/>
          <w:b/>
          <w:bCs/>
          <w:i w:val="false"/>
          <w:iCs w:val="false"/>
          <w:caps w:val="false"/>
          <w:sz w:val="24"/>
          <w:szCs w:val="24"/>
        </w:rPr>
        <w:t xml:space="preserve">M/s Noticedesk Technologies Private Limited</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_______________________________</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Authorised Signatory / Director</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Place: Mumbai</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Date: [____]</w:t>
      </w:r>
    </w:p>
    <w:p>
      <w:pPr>
        <w:pStyle w:val="Heading1"/>
        <w:spacing w:after="160" w:before="260"/>
      </w:pPr>
      <w:r>
        <w:rPr>
          <w:rFonts w:ascii="Times New Roman" w:cs="Times New Roman" w:eastAsia="Times New Roman" w:hAnsi="Times New Roman"/>
          <w:b/>
          <w:bCs/>
          <w:caps/>
          <w:sz w:val="26"/>
          <w:szCs w:val="26"/>
        </w:rPr>
        <w:t xml:space="preserve">List of Annexures</w:t>
      </w:r>
    </w:p>
    <w:p>
      <w:pPr>
        <w:pStyle w:val="ListParagraph"/>
        <w:numPr>
          <w:ilvl w:val="0"/>
          <w:numId w:val="5"/>
        </w:numPr>
        <w:spacing w:after="140" w:line="276"/>
        <w:jc w:val="both"/>
      </w:pPr>
      <w:r>
        <w:rPr>
          <w:rFonts w:ascii="Times New Roman" w:cs="Times New Roman" w:eastAsia="Times New Roman" w:hAnsi="Times New Roman"/>
          <w:b w:val="false"/>
          <w:bCs w:val="false"/>
          <w:i w:val="false"/>
          <w:iCs w:val="false"/>
          <w:caps w:val="false"/>
          <w:sz w:val="24"/>
          <w:szCs w:val="24"/>
        </w:rPr>
        <w:t xml:space="preserve">Annexure 1 — Portal acknowledgment of the bank details furnished under Rule 10A; cancelled cheque / bank certificate.</w:t>
      </w:r>
    </w:p>
    <w:p>
      <w:pPr>
        <w:pStyle w:val="ListParagraph"/>
        <w:numPr>
          <w:ilvl w:val="0"/>
          <w:numId w:val="5"/>
        </w:numPr>
        <w:spacing w:after="140" w:line="276"/>
        <w:jc w:val="both"/>
      </w:pPr>
      <w:r>
        <w:rPr>
          <w:rFonts w:ascii="Times New Roman" w:cs="Times New Roman" w:eastAsia="Times New Roman" w:hAnsi="Times New Roman"/>
          <w:b w:val="false"/>
          <w:bCs w:val="false"/>
          <w:i w:val="false"/>
          <w:iCs w:val="false"/>
          <w:caps w:val="false"/>
          <w:sz w:val="24"/>
          <w:szCs w:val="24"/>
        </w:rPr>
        <w:t xml:space="preserve">Annexure 2 — Returns filed up to the date of cancellation with payment particulars (proviso to Rule 23(1)).</w:t>
      </w:r>
    </w:p>
    <w:p>
      <w:pPr>
        <w:pStyle w:val="ListParagraph"/>
        <w:numPr>
          <w:ilvl w:val="0"/>
          <w:numId w:val="5"/>
        </w:numPr>
        <w:spacing w:after="140" w:line="276"/>
        <w:jc w:val="both"/>
      </w:pPr>
      <w:r>
        <w:rPr>
          <w:rFonts w:ascii="Times New Roman" w:cs="Times New Roman" w:eastAsia="Times New Roman" w:hAnsi="Times New Roman"/>
          <w:b w:val="false"/>
          <w:bCs w:val="false"/>
          <w:i w:val="false"/>
          <w:iCs w:val="false"/>
          <w:caps w:val="false"/>
          <w:sz w:val="24"/>
          <w:szCs w:val="24"/>
        </w:rPr>
        <w:t xml:space="preserve">Annexure 3 — Copies of the SCN (REG-17) and the cancellation order.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60"/>
      </w:pPr>
    </w:lvl>
  </w:abstractNum>
  <w:abstractNum w:abstractNumId="3" w15:restartNumberingAfterBreak="0">
    <w:multiLevelType w:val="hybridMultilevel"/>
    <w:lvl w:ilvl="0" w15:tentative="1">
      <w:start w:val="1"/>
      <w:numFmt w:val="lowerLetter"/>
      <w:lvlText w:val="(%1)"/>
      <w:lvlJc w:val="left"/>
      <w:pPr>
        <w:ind w:left="1080" w:hanging="420"/>
      </w:pPr>
    </w:lvl>
  </w:abstractNum>
  <w:abstractNum w:abstractNumId="4" w15:restartNumberingAfterBreak="0">
    <w:multiLevelType w:val="hybridMultilevel"/>
    <w:lvl w:ilvl="0" w15:tentative="1">
      <w:start w:val="1"/>
      <w:numFmt w:val="lowerLetter"/>
      <w:lvlText w:val="(%1)"/>
      <w:lvlJc w:val="left"/>
      <w:pPr>
        <w:ind w:left="1080" w:hanging="420"/>
      </w:pPr>
    </w:lvl>
  </w:abstractNum>
  <w:abstractNum w:abstractNumId="5" w15:restartNumberingAfterBreak="0">
    <w:multiLevelType w:val="hybridMultilevel"/>
    <w:lvl w:ilvl="0" w15:tentative="1">
      <w:start w:val="1"/>
      <w:numFmt w:val="lowerLetter"/>
      <w:lvlText w:val="(%1)"/>
      <w:lvlJc w:val="left"/>
      <w:pPr>
        <w:ind w:left="1080" w:hanging="420"/>
      </w:pPr>
    </w:lvl>
  </w:abstractNum>
  <w:abstractNum w:abstractNumId="6" w15:restartNumberingAfterBreak="0">
    <w:multiLevelType w:val="hybridMultilevel"/>
    <w:lvl w:ilvl="0" w15:tentative="1">
      <w:start w:val="1"/>
      <w:numFmt w:val="decimal"/>
      <w:lvlText w:val="%1."/>
      <w:lvlJc w:val="left"/>
      <w:pPr>
        <w:ind w:left="600" w:hanging="360"/>
      </w:pPr>
    </w:lvl>
  </w:abstractNum>
  <w:abstractNum w:abstractNumId="7" w15:restartNumberingAfterBreak="0">
    <w:multiLevelType w:val="hybridMultilevel"/>
    <w:lvl w:ilvl="0" w15:tentative="1">
      <w:start w:val="1"/>
      <w:numFmt w:val="decimal"/>
      <w:lvlText w:val="%1."/>
      <w:lvlJc w:val="left"/>
      <w:pPr>
        <w:ind w:left="600" w:hanging="360"/>
      </w:pPr>
    </w:lvl>
  </w:abstractNum>
  <w:abstractNum w:abstractNumId="8" w15:restartNumberingAfterBreak="0">
    <w:multiLevelType w:val="hybridMultilevel"/>
    <w:lvl w:ilvl="0" w15:tentative="1">
      <w:start w:val="1"/>
      <w:numFmt w:val="decimal"/>
      <w:lvlText w:val="%1."/>
      <w:lvlJc w:val="left"/>
      <w:pPr>
        <w:ind w:left="600" w:hanging="360"/>
      </w:pPr>
    </w:lvl>
  </w:abstractNum>
  <w:abstractNum w:abstractNumId="9"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2"/>
    <w:lvlOverride w:ilvl="0">
      <w:startOverride w:val="1"/>
    </w:lvlOverride>
  </w:num>
  <w:num w:numId="3">
    <w:abstractNumId w:val="6"/>
    <w:lvlOverride w:ilvl="0">
      <w:startOverride w:val="1"/>
    </w:lvlOverride>
  </w:num>
  <w:num w:numId="4">
    <w:abstractNumId w:val="7"/>
    <w:lvlOverride w:ilvl="0">
      <w:startOverride w:val="1"/>
    </w:lvlOverride>
  </w:num>
  <w:num w:numId="5">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6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after="140" w:before="20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2026-06-13T08:26:25.015Z</dcterms:created>
  <dcterms:modified xsi:type="dcterms:W3CDTF">2026-06-13T08:26:25.015Z</dcterms:modified>
</cp:coreProperties>
</file>

<file path=docProps/custom.xml><?xml version="1.0" encoding="utf-8"?>
<Properties xmlns="http://schemas.openxmlformats.org/officeDocument/2006/custom-properties" xmlns:vt="http://schemas.openxmlformats.org/officeDocument/2006/docPropsVTypes"/>
</file>